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3/02 vom 16. Juli 2003</w:t>
      </w:r>
    </w:p>
    <w:p>
      <w:r>
        <w:t>Bundesgericht, 2003-07-16, DE</w:t>
      </w:r>
    </w:p>
    <w:p>
      <w:r>
        <w:rPr>
          <w:b/>
        </w:rPr>
        <w:t xml:space="preserve">Quelle: </w:t>
      </w:r>
      <w:r>
        <w:t>https://mcp.opencaselaw.ch/entscheid/bger_U_3_02</w:t>
      </w:r>
    </w:p>
    <w:p>
      <w:r>
        <w:t>FR: TF U 3/02 du 16 juillet 2003</w:t>
      </w:r>
    </w:p>
    <w:p>
      <w:r>
        <w:t>IT: TF U 3/02 del 16 luglio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7. Dezember 2000) eingetretenen Sachverhalt abstellt ( BGE 121 V 366 Erw. 1b), sind im vorliegenden Fall die neuen Bestimmungen nicht anwendbar.</w:t>
      </w:r>
    </w:p>
    <w:p>
      <w:r>
        <w:rPr>
          <w:b/>
        </w:rPr>
        <w:t>E. 2</w:t>
      </w:r>
    </w:p>
    <w:p>
      <w:r>
        <w:t>Da nicht die Bewilligung oder Verweigerung von Versicherungsleistungen streitig ist, richtet sich die Kognition des Eidgenössischen Versicherungsgerichts aufgrund von Art. 132 OG nach Art. 104 lit. a und b sowie Art. 105 OG . 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zustandegekommen ist (Art. 104 lit. b in Verbindung mit Art. 105 Abs. 2 OG ). Da sich aus den Akten keinerlei Anhaltspunkte für eine in diesem Sinne fehlerhafte Sachverhaltsermittlung ergeben und eine solche auch in der Verwaltungsgerichtsbeschwerde nicht ausdrücklich geltend gemacht wird, bleibt einzig zu prüfen, ob mit der vorinstanzlichen Bestätigung der von der SUVA verfügten Unterstellung Bundesrecht verletzt worden ist ( Art. 104 lit. a OG ).</w:t>
      </w:r>
    </w:p>
    <w:p>
      <w:r>
        <w:rPr>
          <w:b/>
        </w:rPr>
        <w:t>E. 3</w:t>
      </w:r>
    </w:p>
    <w:p>
      <w:r>
        <w:t>Die Eidgenössische Rekurskommission hat die im konkreten Fall interessierenden, in Art. 66 Abs. 1 lit. e UVG umschriebenen Kriterien für eine obligatorische Unterstellung unter die SUVA zutreffend dargelegt, worauf verwiesen wird. Richtig sind auch die Ausführungen über die bei Hilfs- und Nebenbetrieben sowie bei gemischten Betrieben aufgrund von Art. 88 UVV zu beachtenden unterstellungsrechtlichen Grundsätze. Beizupflichten ist der Vorinstanz weiter hinsichtlich der nach der Rechtsprechung wesentlichen Unterscheidungsmerkmale von gegliederten und ungegliederten Betrieben ( BGE 113 V 333 f. Erw. 5b und c, 348 f. Erw. 3b und c) sowie hinsichtlich der für gemischte Betriebe geltenden Begriffsumschreibung in Art. 88 Abs. 2 UVV .</w:t>
      </w:r>
    </w:p>
    <w:p>
      <w:r>
        <w:rPr>
          <w:b/>
        </w:rPr>
        <w:t>E. 4.1</w:t>
      </w:r>
    </w:p>
    <w:p>
      <w:r>
        <w:t>Die Beschwerdeführerin betreibt ein Detailhandelsgeschäft für Sportartikel, Eisenwaren und verwandte Erzeugnisse, Werkzeuge, Maschinen, Beschläge sowie Artikel für Hobby und Freizeit aller Art. Zu ihrem Tätigkeitsbereich gehört auch die Montage von Skibindungen, ein Schlüsselservice und das Zuschneiden von Holzplatten. Sie handelt somit nicht bloss mit Produkten, sondern stellt diese teilweise auch dem Wunsch der Kunden entsprechend fertig oder verbindet sie. Aufgrund der Gesamtstruktur der Firma X.________ AG sah die Vorinstanz darin betriebsübliche Tätigkeiten und qualifizierte die Werkstätten als zum typischen Betriebscharakter gehörend. Sie kam daher zum Schluss, es handle sich bei der Beschwerdeführerin um einen ungegliederten Betrieb.</w:t>
      </w:r>
    </w:p>
    <w:p>
      <w:r>
        <w:rPr>
          <w:b/>
        </w:rPr>
        <w:t>E. 4.2</w:t>
      </w:r>
    </w:p>
    <w:p>
      <w:r>
        <w:t>Ein ungegliederter Betrieb im unterstellungsrechtlichen Sinne liegt vor, wenn sich die Unternehmung im Wesentlichen auf einen einzigen, zusammenhängen Tätigkeitsbereich beschränkt. Sie weist somit einen einheitlichen oder im Sinne der Botschaft (BBl 1976 III 209) vorwiegenden Betriebscharakter (z.B. als Bauunternehmung, als Handelsbetrieb oder als Treuhandgesellschaft) auf und führt im Wesentlichen nur Arbeiten aus, die in den üblichen Tätigkeitsbereich eines Betriebes dieser Art fallen ( BGE 113 V 333 Erw. 5b, 348 Erw. 3b). Hingegen liegt ein gegliederter Betrieb vor, wenn die Unternehmung sich nicht auf einen einzigen, zusammenhängenden Tätigkeitsbereich beschränkt und es an der Einheitlichkeit des Betriebscharakters fehlt ( BGE 113 V 334 Erw. 5c). Im Zusammenhang mit kleineren und mittleren Unternehmen hat das Eidgenössische Versicherungsgericht das Vorliegen eines ungegliederten Betriebes bejaht bei einem Tankstellen-Shop, dessen Personal den Verkauf von Waren des allgemeinen Lebensbedarfs und die Tankstelle zu betreuen hatte; zwischen Shop und Tankstelle besteht bei diesem Betriebstyp ein enger Zusammenhang, indem sich die angebotenen Dienstleistungen gegenseitig vervollständigen (RKUV 1999 Nr. U 338 S. 285). Eine Gesellschaft, deren Tätigkeit die Verwaltung, die Lagerung von Ware und das Bodenlegen umfasst, weist demgegenüber keinen einheitlichen Betriebscharakter auf, denn die Bodenlegerarbeiten gehören nicht zum normalen Tätigkeitsbereich eines Teppichhandelsbetriebes; es liegt daher ein gegliederter Betrieb vor (RKUV 1988 Nr. U 44 S. 209). Hingegen gehört die Bodenlegertätigkeit zum üblichen Tätigkeitsbereich eines Innendekorationsbetriebes, unabhängig davon, dass diese nur 5% der Geschäftstätigkeit ausmacht (RKUV 1987 Nr. U 16 S. 238; ebenso unveröffentlichtes Urteil M. vom 6. November 1998, U 44/97). Ein Handels- und Lagerbetrieb für Pflanzenschutz- und Unkrautvertilgungsmittel sowie andere chemische Produkte weist verschiedene, untereinander sachlich zusammenhängende Betriebsteile auf, die ein einheitliches Betriebsgebilde darstellen (Lagerbewirtschaftung, Verwaltung, Reisedienst; nicht veröffentlichtes Urteil C. vom 29. Juli 1987, U 88/86). Hingegen können Stanzarbeiten nicht als eine zu einem Handelsbetrieb für Lärmschutzvorrichtungen gehörende, übliche Tätigkeit bezeichnet werden, weshalb in diesem Fall von einem gegliederten Betrieb auszugehen ist (SVR 1996 UV Nr. 54 S. 179).</w:t>
      </w:r>
    </w:p>
    <w:p>
      <w:r>
        <w:rPr>
          <w:b/>
        </w:rPr>
        <w:t>E. 4.3</w:t>
      </w:r>
    </w:p>
    <w:p>
      <w:r>
        <w:t>Bei einem Verkaufsgeschäft, welches im Bereich Hobby und Heimwerken unter anderem auch Holzplatten vertreibt, stellt der Zuschnitt einen wichtigen Bestandteil dar, da dem Käufer damit seinem Wunsch entsprechend die direkte Verwendung ermöglicht wird. Ohne diese Dienstleistung könnte ihm keine auf Mass zugeschnittene Ware angeboten werden. Auch die Montage von Skibindungen gehört in einem Geschäft, welches Artikel für den Wintersport verkauft, zum üblichen Tätigkeitsbereich. Der im Bereich "Heimwerken" angebotene Schlüsselservice stellt sodann für einen Betrieb, der Eisenwaren verkauft, keine Betriebsbesonderheit dar, die mit dem übrigen Verkaufsgeschäft in keinem sachlichen Zusammenhang steht. Sämtliche Tätigkeiten bilden einen einzigen, zusammenhängenden und dem Betriebszweck dienenden Bereich. Es kann diesbezüglich auf die zutreffenden Erwägungen im vorinstanzlichen Entscheid verwiesen werden, welchen sich das Eidgenössische Versicherungsgericht vollumfänglich anschliesst. Die Firma X.________ AG stellt somit einen ungegliederten Betrieb dar. Dies wird von der Beschwerdeführerin denn auch ausdrücklich anerkannt.</w:t>
      </w:r>
    </w:p>
    <w:p>
      <w:r>
        <w:rPr>
          <w:b/>
        </w:rPr>
        <w:t>E. 5.1</w:t>
      </w:r>
    </w:p>
    <w:p>
      <w:r>
        <w:t>Für die Beurteilung, ob ein ungegliederter Betrieb in den Zuständigkeitsbereich der SUVA fällt, sind die Art. 66 Abs. 1 und 2 1 . Halbsatz UVG in Verbindung mit Art. 73 bis 87 UVV massgebend ( BGE 113 V 333 Erw. 5a). Die Vorinstanz erachtet aufgrund der zum Montieren von Skibindungen eingesetzten Bohrmaschinen und der in der Holzabteilung verwendeten "Striebig"-Plattenzuschneidemaschine die Unterstellungsvoraussetzung des Art. 66 Abs. 1 lit. e UVG als erfüllt.</w:t>
      </w:r>
    </w:p>
    <w:p>
      <w:r>
        <w:rPr>
          <w:b/>
        </w:rPr>
        <w:t>E. 5.2</w:t>
      </w:r>
    </w:p>
    <w:p>
      <w:r>
        <w:t>Die Beschwerdeführerin bestreitet dies mit dem Argument, der Detailhandel und nicht die Stoffbearbeitung bilde den vorwiegenden Betriebscharakter der Gesellschaft, weshalb es sich bei der Firma X.________ AG nicht um eine Unternehmung handle, die unter die genannte Bestimmung falle. Ein gegliederter wie auch ein ungegliederter Betrieb könne teilweise Kriterien aufweisen, welche eine Unterstellung unter die SUVA rechtfertigten und solche, die keine SUVA-Unterstellung nach sich zögen. In beiden Fällen habe die Unterstellung aufgrund des vorwiegenden Betriebscharakters oder Tätigkeitsgebiets und somit der Branchenzugehörigkeit zu erfolgen.</w:t>
      </w:r>
    </w:p>
    <w:p>
      <w:r>
        <w:rPr>
          <w:b/>
        </w:rPr>
        <w:t>E. 6.1</w:t>
      </w:r>
    </w:p>
    <w:p>
      <w:r>
        <w:t>Nach der Rechtsprechung kommt dem Begriff des vorwiegenden Betriebscharakters bei ungegliederten Betrieben nicht die ihm in der Verwaltungsgerichtsbeschwerde zugemessene Bedeutung zu.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w:t>
      </w:r>
    </w:p>
    <w:p>
      <w:r>
        <w:rPr>
          <w:b/>
        </w:rPr>
        <w:t>E. 6.2</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6.3</w:t>
      </w:r>
    </w:p>
    <w:p>
      <w:r>
        <w:t>Im Lichte der dargelegten Rechtslage und der Voraussetzungen an eine Praxisänderung besteht kein Anlass, von der bisherigen Rechtsprechung abzugehen, wonach bei ungegliederten Betrieben das Ausmass einzelner für die Unterstellung nach Art. 66 Abs. 1 UVG ausschlaggebender branchenüblicher Tätigkeiten keine Rolle spielt. Wie das Eidgenössische Versicherungsgericht bereits früher festgehalten hat, lässt sich eine Regel, wonach eine Unterstellung unter die SUVA ausgeschlossen ist, wenn eine und dieselbe Betriebseinheit die Kriterien des Art. 66 Abs. 1 UVG nur zu einem geringen Teil erfüllt, weder dem Gesetz und der Verordnung noch der bundesrätlichen Botschaft (zu Art. 66 UVG ; BBl 1976 III 209) entnehmen (RKUV 1987 Nr. U 16 S. 244 Erw. 4c; nicht veröffentlichtes Urteil M. vom 6. November 1998, U 44/97). Aber auch Praktikabilitätsgründe sprechen gegen eine Rechtsprechungsänderung. Würde die Unterstellung abhängig gemacht vom Umfang der im Betrieb ausgeführten Bearbeitungen gemäss Art. 66 Abs. 1 UVG , würden sich zu Beginn und im Laufe der betrieblichen Tätigkeit schwierige Abgrenzungsfragen stellen, verbunden mit einem erhöhten Abklärungsbedarf.</w:t>
      </w:r>
    </w:p>
    <w:p>
      <w:r>
        <w:rPr>
          <w:b/>
        </w:rPr>
        <w:t>E. 7</w:t>
      </w:r>
    </w:p>
    <w:p>
      <w:r>
        <w:t>Das Gesetz nennt in Art. 66 Abs. 1 UVG durch Stichwort oder durch Umschreibung die Tätigkeiten, die von den Betrieben oder Verwaltungen ausgeführt werden müssen: z.B. Forstbetriebe (lit. d) oder "Betriebe, die Metall, Holz, Kork, Kunststoffe, Stein oder Glas maschinell bearbeiten sowie Giessereien" (lit. e), damit sie zum Tätigkeitsbereich der SUVA gehören (vgl. Maurer, Schweizerisches Unfallversicherungsrecht, Bern 1985, S. 50; vgl. auch BGE 113 V 333 Erw. 5a). Wenn die Vorinstanz im angefochtenen Entscheid dafür hält, die Umschreibung in Art. 66 Abs. 1 lit. e UVG erfolge anhand einer bestimmten Ausübungsart, kann dies nur dahingehend verstanden werden, dass gestützt auf diese Bestimmung die Unterstellungsvoraussetzungen erfüllt sind, wenn die Bearbeitung der genannten Stoffe mit Hilfe von Maschinen erfolgt oder es sich um einen Giessereibetrieb handelt. Eine Verkennung von Gesetz, Verordnung oder gesetzgeberischem Willen kann in der vorinstanzlichen Aussage nicht erblickt werden. Der unter der Überschrift "Betriebe zur Bearbeitung von Stoffen" stehende Art. 76 UVV präzisiert, dass als Betriebe zur Bearbeitung von Stoffen im Sinne der obigen Bestimmung auch solche gelten, die Granulate, Pulver oder Flüssigkeiten zu Kunststoffgegenständen verarbeiten. Im zu beurteilenden Betrieb geht es indessen nicht um solche Stoffe, sondern um Metall, Holz und Kunststoffe, welche gemäss dem klaren Wortlaut der Gesetzesbestimmung maschinell bearbeitet werden müssen. Das Unterstellungskriterium ist hier somit weder die Maschine noch die Stoffbearbeitung, sondern die maschinelle Stoffbearbeitung. Auf die Art, Grösse und Stärke der zum Einsatz gelangenden Apparate kommt es nicht an, da sich ansonsten die Frage nach der Abgrenzung von die Unterstellung bedingenden Maschinen und anderen Maschinen stellen würde, eine Frage, die sich kaum nach generellen und praktikablen Kriterien beantworten liesse (RKUV 1987 Nr. U 16 S. 243 Erw. 4b). Im Betrieb der Beschwerdeführerin werden Tätigkeiten ausgeübt, welche unter den Begriff der "maschinellen Bearbeitung von Metall, Holz und Kunststoff" fallen. Die Art des Betriebes wird in Art. 66 Abs. 1 lit. e nicht näher umschrieben, weshalb darunter alle juristischen Personen, Personengesellschaften oder Einzelfirmen fallen, sofern zu ihrem branchenüblichen Tätigkeitsgebiet die Bearbeitung der genannten Stoffe gehört. So gehört beispielsweise auch ein Betrieb für Raumgestaltung und Innendekoration dazu, der Holz maschinell bearbeitet (RKUV 1987 Nr. U 16 S. 238) oder ein Betrieb für graphische Beschriftung und Gestaltung, in welchem mit computergesteuerten Schneideplottern aus selbstklebenden Kunststofffolien Buchstaben ausgeschnitten werden (SUVA 1990 Nr. 4 S. 7). Bezogen auf den Detailhandelsbetrieb der Beschwerdeführerin ist für eine Unterstellung unter die SUVA massgebend und genügend, dass dieser im Rahmen der branchenüblichen Tätigkeit im Sinne einer Serviceleistung Stoffe gemäss Art. 66 Abs. 1 lit. e UVG maschinell bearbeitet.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