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349/06 vom 11. Juli 2007</w:t>
      </w:r>
    </w:p>
    <w:p>
      <w:r>
        <w:t>Bundesgericht, 2007-07-11, IT</w:t>
      </w:r>
    </w:p>
    <w:p>
      <w:r>
        <w:rPr>
          <w:b/>
        </w:rPr>
        <w:t xml:space="preserve">Quelle: </w:t>
      </w:r>
      <w:r>
        <w:t>https://mcp.opencaselaw.ch/entscheid/bger_U_349_06</w:t>
      </w:r>
    </w:p>
    <w:p>
      <w:r>
        <w:t>FR: TF U 349/06 du 11 juillet 2007</w:t>
      </w:r>
    </w:p>
    <w:p>
      <w:r>
        <w:t>IT: TF U 349/06 del 11 luglio 2007</w:t>
      </w:r>
    </w:p>
    <w:p>
      <w:pPr>
        <w:pStyle w:val="Heading2"/>
      </w:pPr>
      <w:r>
        <w:t>Regeste</w:t>
      </w:r>
    </w:p>
    <w:p>
      <w:r>
        <w:t>Assicurazione contro gli infortuni (AINF) - Assicurazione contro gli infortuni (AINF) | Assicurazione contro gli infortuni</w:t>
      </w:r>
    </w:p>
    <w:p>
      <w:pPr>
        <w:pStyle w:val="Heading2"/>
      </w:pPr>
      <w:r>
        <w:t>Erwägungen</w:t>
      </w:r>
    </w:p>
    <w:p>
      <w:r>
        <w:rPr>
          <w:b/>
        </w:rPr>
        <w:t>E. 1</w:t>
      </w:r>
    </w:p>
    <w:p>
      <w:r>
        <w:t>Il 1° gennaio 2007 è entrata in vigore la legge federale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Oggetto del contendere è la quantificazione dell'IMI che il primo giudice, a conferma della decisione su opposizione in lite e senza avere precedentemente disposto una perizia giudiziaria, ha stabilito al 10%.</w:t>
      </w:r>
    </w:p>
    <w:p>
      <w:r>
        <w:rPr>
          <w:b/>
        </w:rPr>
        <w:t>E. 3</w:t>
      </w:r>
    </w:p>
    <w:p>
      <w:r>
        <w:t>Nei considerandi dell'impugnata pronuncia, cui si rinvia, il primo giudice ha già diffusamente esposto le norme legali disciplinanti la materia, rammentando in particolare che giusta l' art. 24 cpv. 1 LAINF l'assicurato ha diritto a un'equa indennità se, in seguito all'infortunio, accusa una menomazione importante e durevole all'integrità fisica o mentale e precisando per il resto che l'IMI, oltre ad essere assegnata in forma di prestazione in capitale e a non dovere superare l'ammontare massimo del guadagno annuo assicurato all'epoca dell'infortunio, è scalata secondo la gravità della menomazione ( art. 25 cpv. 2 LAINF ). Giova inoltre ribadire che, secondo l' art. 36 OAINF , emanato in conformità alla delega di competenza di cui all' art. 25 cpv. 2 LAINF ( DTF 124 V 29 ), una menomazione dell'integrità è considerata durevole se verosimilmente sussisterà per tutta la vita almeno con identica gravità ed è importante se l'integrità fisica o mentale, indipendentemente dalla capacità di guadagno, è alterata in modo evidente o grave (cpv. 1). Infine, l'IMI è calcolata secondo le direttive figuranti nell'allegato 3 e se più menomazioni all'integrità fisica o mentale, causate da uno o più infortuni, sono concomitanti, l'indennità è calcolata in base al pregiudizio complessivo (art. 36 cpv. 2 e cpv. 3 prima frase OAINF).</w:t>
      </w:r>
    </w:p>
    <w:p>
      <w:r>
        <w:rPr>
          <w:b/>
        </w:rPr>
        <w:t>E. 4</w:t>
      </w:r>
    </w:p>
    <w:p>
      <w:r>
        <w:t>L'allegato 3 dell'OAINF contempla una tabella delle menomazioni dell'integrità calcolate in per cento del guadagno massimo assicurato. Questa tabella - riconosciuta conforme alla legge - non costituisce un elenco esaustivo ( DTF 124 V 29 consid. 1b pag. 32). Deve essere intesa come una norma valida "nel caso normale" (cifra 1 cpv. 1 dell'allegato). Per le menomazioni speciali o non indicate nell'elenco bisogna calcolare l'indennità in funzione della gravità della menomazione applicando la tabella per analogia (cifra 1 cpv. 2 dell'allegato). La cifra 2 dell'allegato dispone inoltre che in caso di perdita parziale di un organo o del suo uso, l'indennità per la menomazione dell'integrità sarà corrispondentemente ridotta, precisando comunque che nessuna indennità viene versata se la menomazione dell'integrità risulta inferiore al tasso del 5% dell'ammontare massimo del guadagno assicurato. L'INSAI ha inoltre allestito delle tabelle in aggiunta a quella succitata, le quali costituiscono unicamente direttive amministrative ai propri organi e non vincolano pertanto i tribunali. Tuttavia questa Corte ha già decretato che, nella misura in cui contengono unicamente dei valori indicativi che contribuiscono a trattare allo stesso modo tutti gli assicurati, esse sono compatibili con l'allegato 3 ( DTF 116 V 156 consid. 3a pag. 157; cfr. pure la sentenza del Tribunale federale delle assicurazioni U 376/04 del 28 giugno 2005, consid. 4).</w:t>
      </w:r>
    </w:p>
    <w:p>
      <w:r>
        <w:rPr>
          <w:b/>
        </w:rPr>
        <w:t>E. 5</w:t>
      </w:r>
    </w:p>
    <w:p>
      <w:r>
        <w:t>Nell'evenienza concreta, il grado di indennità per menomazione dell'integrità stabilito dall'INSAI e confermato dal giudice cantonale si fonda sulle tabelle 2.2 e 6.2 del volume indennità per menomazione dell'integrità, edito dall'INSAI (edizione 2000), che contemplano i disturbi funzionali alle estremità inferiori e le instabilità articolari. Tutto ben ponderato, pure questa Corte non vede motivo per non aderire alla valutazione del grado di menomazione dell'integrità del 10% riconosciuto dall'assicuratore infortuni. Il riconoscimento del 10% quale menomazione dell'integrità fisica del ricorrente non può essere né qualificato di arbitrario né come tasso stabilito in abuso del potere di apprezzamento (consid. 6 non pubblicato in DTF 112 V 313 ). Le obiezioni che l'interessato esprime nel ricorso di diritto amministrativo non inducono a concludere diversamente, poiché infondate.</w:t>
      </w:r>
    </w:p>
    <w:p>
      <w:r>
        <w:rPr>
          <w:b/>
        </w:rPr>
        <w:t>E. 6</w:t>
      </w:r>
    </w:p>
    <w:p>
      <w:r>
        <w:t>Il ricorrente lamenta in sostanza una violazione del diritto di essere sentito e della massima inquisitoria, perché la Corte cantonale non avrebbe disposto la perizia giudiziaria da lui richiesta a completazione e verifica del referto di parte, ritenuto quantomeno omissivo, contraddittorio e inadempiente, allestito dal medico di circondario dell'INSAI, dott. F.________, posto a fondamento della pronuncia impugnata. Egli pone inoltre in dubbio l'oggettività di detto medico. La tesi ricorsuale non può essere condivisa. Dopo attento esame dell'incarto, questa Corte non può che concordare con il Tribunale cantonale, il quale a ragione ha fondato il proprio giudizio sulla valutazione espressa dal dott. F.________, medico specialista nella materia che qui interessa, senza avere precedentemente disposto una perizia giudiziaria. A quest'ultimo proposito giova ricordare, come già segnalato dall'istanza precedente, che se gli accertamenti svolti permettono al giudice, che si è fondato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In tal caso non sussiste una violazione del diritto di essere sentito conformemente all' art. 29 cpv. 2 Cost. (SVR 2001 IV no. 10 pag. 28 consid. 4b). Occorre poi ribadire che, contrariamente a quanto invocato, il dott. F.________ non può essere qualificato quale medico di parte. L'insorgente dimentica che secondo costante giurisprudenza, in un procedimento assicurativo sociale l'amministrazione è parte solo dopo l'instaurazione della controversia giudiziale, mentre nella fase che precede la decisione essa è un organo amministrativo incaricato di attuare il diritto oggettivo (cfr. DTF 104 V 209 ). I referti ordinati ed eseguiti in adempimento di questo compito non possono essere considerati di parte ( DTF 123 V 175 , 122 V 157). Il solo fatto quindi che il dott. F.________ sia in concreto intervenuto in qualità di medico di circondario dell'istituto assicuratore non è di per sé sufficiente per dubitare della sua obiettività e imparzialità. Quanto al valore probatorio attribuito a simili referti, come ha evidenziato il giudice di prime cure, il questo Tribunale ha già avuto modo di stabilire che se gli stessi sono stati resi sulla base di accertamenti approfonditi e completi, in piena conoscenza dell'incarto e giungono a dei risultati convincenti, il giudice non vi si discosta se non in presenza di indizi concreti suscettibili di far dubitare della loro fondatezza ( DTF 125 V 351 consid. 3b/ee pag. 353). Ciò che è il caso in concreto.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Sia infine osservato, come già fatto dall'istanza precedente, che lo stesso medico curante dell'interessato, dott. S.________, ha in un rapporto del 28 ottobre 2005 confermato lo status medico riscontrato in precedenza dal dott. F.________.</w:t>
      </w:r>
    </w:p>
    <w:p>
      <w:r>
        <w:rPr>
          <w:b/>
        </w:rPr>
        <w:t>E. 7</w:t>
      </w:r>
    </w:p>
    <w:p>
      <w:r>
        <w:t>Visto quanto precede, il giudizio cantonale merita di essere confermato e il ricorso respinto in quanto infondato, senza che occorra procedere ad accertamenti medici completivi, l'incarto contenendo già le indicazioni necessarie ai fini decisionali ( DTF 122 V 157 consid. 1d pag.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