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326/05 vom 26. Mai 2006</w:t>
      </w:r>
    </w:p>
    <w:p>
      <w:r>
        <w:t>Bundesgericht, 2006-05-26, DE</w:t>
      </w:r>
    </w:p>
    <w:p>
      <w:r>
        <w:rPr>
          <w:b/>
        </w:rPr>
        <w:t xml:space="preserve">Quelle: </w:t>
      </w:r>
      <w:r>
        <w:t>https://mcp.opencaselaw.ch/entscheid/bger_U_326_05</w:t>
      </w:r>
    </w:p>
    <w:p>
      <w:r>
        <w:t>FR: TF U 326/05 du 26 mai 2006</w:t>
      </w:r>
    </w:p>
    <w:p>
      <w:r>
        <w:t>IT: TF U 326/05 del 26 maggio 2006</w:t>
      </w:r>
    </w:p>
    <w:p>
      <w:pPr>
        <w:pStyle w:val="Heading2"/>
      </w:pPr>
      <w:r>
        <w:t>Regeste</w:t>
      </w:r>
    </w:p>
    <w:p>
      <w:r>
        <w:t>Unfallversicherung | Unfallversicherung</w:t>
      </w:r>
    </w:p>
    <w:p>
      <w:pPr>
        <w:pStyle w:val="Heading2"/>
      </w:pPr>
      <w:r>
        <w:t>Erwägungen</w:t>
      </w:r>
    </w:p>
    <w:p>
      <w:r>
        <w:rPr>
          <w:b/>
        </w:rPr>
        <w:t>E. 1</w:t>
      </w:r>
    </w:p>
    <w:p>
      <w:r>
        <w:t>Vorab ist der formelle Einwand zu prüfen, der medizinische Fachrichter Dr. med. I.________ hätte in den Ausstand treten müssen. Da der Beschwerdeführer erst dem angefochtenen Entscheid entnehmen konnte, dass Fachrichter I.________ daran mitgewirkt hatte, ist die Rüge rechtzeitig erhoben.</w:t>
      </w:r>
    </w:p>
    <w:p>
      <w:r>
        <w:rPr>
          <w:b/>
        </w:rPr>
        <w:t>E. 1.1</w:t>
      </w:r>
    </w:p>
    <w:p>
      <w:r>
        <w:t>Die Frage, ob eine Gerichtsperson als befangen zu gelten hat, und der entsprechende Entscheid betreffen nicht die Bewilligung oder Verweigerung von Versicherungsleistungen, weshalb die für diesen Fall erweiterte Kognition des Eidgenössischen Versicherungsgerichts ( Art. 132 OG ) nicht zum Tragen kommt.</w:t>
      </w:r>
    </w:p>
    <w:p>
      <w:r>
        <w:rPr>
          <w:b/>
        </w:rPr>
        <w:t>E. 1.2</w:t>
      </w:r>
    </w:p>
    <w:p>
      <w:r>
        <w:t>Der Beschwerdeführer lässt vorbringen, dem medizinischen Fachrichter komme besonderes Gewicht zu, da er einerseits als medizinischer Fachmann das Richterkollegium berate, andererseits aber auch als Richter mitentscheide. Im vorliegenden Verfahren bildeten medizinische Fragen sowie die fachmännische Beurteilung der medizinischen Akten die massgebliche Entscheidgrundlage. Umso höher seien die Anforderungen an die Unvoreingenommenheit des medizinischen Fachrichters zu stellen. Dr. med. I.________ sei als beratender Arzt für die Versicherungsgesellschaften "X.________" und "Y.________" tätig. Er erziele durch diese Funktion einen beachtlichen Teil seines Einkommens, wobei dessen Ausmass durch entsprechende Abklärungen festzustellen sei. Aus dieser Konstellation resultiere eine erhebliche Verflechtung des medizinischen Fachrichters mit der Versicherungswirtschaft, welche eine Befangenheit in sämtlichen Unfallversicherungsfällen begründe. Im konkreten Fall komme hinzu, dass der Beschwerdeführer bei der Sammelstiftung der X.________ berufsvorsorgerechtlich versichert und letztere somit am Ausgang des vorliegenden Verfahrens interessiert sei.</w:t>
      </w:r>
    </w:p>
    <w:p>
      <w:r>
        <w:rPr>
          <w:b/>
        </w:rPr>
        <w:t>E. 1.3</w:t>
      </w:r>
    </w:p>
    <w:p>
      <w:r>
        <w:t>Das kantonale Gericht hält - unter Verweis auf eine Stellungnahme in einem Parallelfall - fest, die Behauptung, Dr. med. I.________ argumentiere als medizinischer Fachrichter einseitig zu Gunsten der Unfallversicherer, sei auf Grund der gemachten Erfahrungen unhaltbar. Das Gericht habe in der langjährigen Mitarbeit von Dr. med. I.________ eine solche Einseitigkeit nie festgestellt. Vielmehr könne Dr. med. I.________ eine sehr präzise Anwendung der bundesgerichtlichen Rechtsprechung attestiert werden. Seine Stellungnahmen und Beurteilungen zeichneten sich unter anderem durch Distanz zu den Parteien aus. Er habe keine Mühe, auch gegen die Versicherer zu entscheiden, und beantrage die Einholung von Gutachten, wenn diese erforderlich seien. Wenn die "X.________" oder die "Y.________" als Unfallversicherer am Recht stehe, trete Dr. med. I.________ in den Ausstand.</w:t>
      </w:r>
    </w:p>
    <w:p>
      <w:r>
        <w:rPr>
          <w:b/>
        </w:rPr>
        <w:t>E. 1.4</w:t>
      </w:r>
    </w:p>
    <w:p>
      <w:r>
        <w:t>Weder auf Grund der Darlegungen des kantonalen Gerichts noch in Anbetracht sämtlicher Vorbringen des Beschwerdeführers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seinem Amtsantritt am Verwaltungsgericht des Kantons Luzern mitgewirkt hat. Selbst wenn es zutreffen sollte, dass Dr. med. I.________ in Kausalitätsprozessen objektivierbare Befunde verlangt und der mit den Urteilen BGE 117 V 359 und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1.5</w:t>
      </w:r>
    </w:p>
    <w:p>
      <w:r>
        <w:t>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w:t>
      </w:r>
    </w:p>
    <w:p>
      <w:r>
        <w:rPr>
          <w:b/>
        </w:rPr>
        <w:t>E. 1.6</w:t>
      </w:r>
    </w:p>
    <w:p>
      <w:r>
        <w:t>Wie das kantonale Gericht in einem Parallelverfahren festgestellt hat, ist Fachrichter Dr. med. I.________ im Auftragsverhältnis als beratender Arzt der "X.________" und der "Y.________" tätig. Dieser Umstand ist im Lichte der dargestellten Rechtsprechung, an welcher festzuhalten ist, für sich allein nicht geeignet, einen Anschein von Befangenheit zu begründen. Denn aus den vorinstanzlichen Feststellungen lässt sich - wobei die vom Beschwerdeführer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1.7</w:t>
      </w:r>
    </w:p>
    <w:p>
      <w:r>
        <w:t>Ob der Umstand, dass der Beschwerdeführer bei der Sammelstiftung der "X.________" berufsvorsorgerechtlich versichert ist, allenfalls grundsätzlich geeignet sein könnte, die Unvoreingenommenheit von Fachrichter I.________ in Frage zu stellen, ist nicht näher zu prüfen. Denn die Besorgnis der Einwirkung sachfremder Umstände kann von vornherein nur auf Tatsachen gründen, welche der betroffenen Gerichtsperson bekannt sind. Nur diesfalls besteht überhaupt die theoretische Möglichkeit einer daraus resultierenden Beeinflussbarkeit. Da die Befangenheit ein innerer Zustand ist ( BGE 120 V 365 oben), kann eine Gerichtsperson nicht aus einem Umstand heraus befangen sein, von dem sie nichts weiss. Die Akten, welche dem kantonalen Gericht bis zur Fällung seines Entscheids vorlagen, enthalten keinen Hinweis darauf, dass die berufliche Vorsorge der Arbeitgeberin über die Sammelstiftung der X.________ abgewickelt wurde. Dieser Umstand ist daher nicht geeignet, den Vorwurf der Befangenheit zu stützen.</w:t>
      </w:r>
    </w:p>
    <w:p>
      <w:r>
        <w:rPr>
          <w:b/>
        </w:rPr>
        <w:t>E. 2</w:t>
      </w:r>
    </w:p>
    <w:p>
      <w:r>
        <w:t>Das kantonale Gericht hat die Bestimmungen und Grundsätze über den Anspruch auf eine Invalidenrente der obligatorischen Unfallversicherung ( Art. 18 Abs. 1 UVG ), die Begriffe der Invalidität ( Art. 8 ATSG ) und der Erwerbsunfähigkeit ( Art. 7 ATSG ), die Bestimmung des Invaliditätsgrades nach der Einkommensvergleichsmethode ( Art. 16 ATSG ), die Aufgabe des Arztes oder der Ärztin im Rahmen der Invaliditätsbemessung ( BGE 125 V 261 Erw. 4, 115 V 134 Erw. 2, 114 V 314 Erw. 3c, 105 V 158 f. Erw. 1) sowie den Beweiswert und die Würdigung medizinischer Berichte und Gutachten ( BGE 125 V 352 Erw. 3a mit Hinweis) zutreffend dargelegt. Darauf wird verwiesen.</w:t>
      </w:r>
    </w:p>
    <w:p>
      <w:r>
        <w:rPr>
          <w:b/>
        </w:rPr>
        <w:t>E. 3.1</w:t>
      </w:r>
    </w:p>
    <w:p>
      <w:r>
        <w:t>In medizinischer Hinsicht gelangten die SUVA und ihr folgend die Vorinstanz zum Ergebnis, als bleibende Folge des Unfalls vom 12. September 2002 bestünden eine Beweglichkeitseinschränkung über der Horizontalen links und eine verminderte Kraft der linken Schulter, während sich die übrigen Restbeschwerden wie Nachtbeschwerden und Wetterfühligkeit mit der Zeit etwas legen dürften. Damit wurde die Beurteilung des Gesundheitszustandes durch den SUVA-Kreisarztes Dr. med. G.________ übernommen. Dieser führte im Bericht über die Abschlussuntersuchung vom 23. Oktober 2003 weiter aus, Tätigkeiten mit Schlägen und Vibrationen auf die linke Schulter sowie Überkopfarbeiten links seien nicht mehr zumutbar. Bis zur Horizontalen bestehe bei günstigen Hebelarmen eine Gewichtslimite von maximal 20-25 kg, während die Grenze bei ungünstigen Hebelarmen tiefer liege. Tätigkeiten mit rein repetitivem Charakter für die linke Schulter seien zu vermeiden. Einschränkungen zeitlicher Natur bestünden nicht.</w:t>
      </w:r>
    </w:p>
    <w:p>
      <w:r>
        <w:rPr>
          <w:b/>
        </w:rPr>
        <w:t>E. 4.1</w:t>
      </w:r>
    </w:p>
    <w:p>
      <w:r>
        <w:t>Im Austrittsbericht der Rehaklinik C.________ vom 7. Juli 2003 wird erklärt, der Versicherte leide an einer bewegungs- und belastungsabhängigen Schulterschmerzsymptomatik links mit Ausstrahlung in den Arm und zervikal links sowie an vermindertem Arm-/Handeinsatz unterhalb der Horizontalen auf der dominanten linken Seite. In den Therapien seien Kräftigungsübungen nur mit Gewichten unter 5 kg möglich gewesen. Bezogen auf die angestammte Tätigkeit als Schreiner habe nach dem Austritt am 11. Juni 2003 weiterhin eine Arbeitsunfähigkeit von 100 % bestanden, und die künftige Wiedereingliederung in diesem Beruf sei als erschwert anzusehen. Diese Aussagen lassen sich ebenso wie die Ausführungen des Dr. med. T.________ in seiner Stellungnahme vom 24. Juli 2003 und im vom Beschwerdeführer zitierten Bericht vom 22. September 2003 grundsätzlich mit der Beurteilung durch den Kreisarzt vereinbaren. Denn die funktionellen Einschränkungen werden in vergleichbarer Weise beschrieben. Die im Bericht des Kreisarztes erwähnte wesentlich höhere Gewichtslimite bezieht sich nur auf günstige Hebelarm-Situationen, und die weiteren Einschränkungen können durch eine adäquate Umschreibung der geeigneten Tätigkeit erfasst werden. Der Kreisarzt hat diesem Erfordernis durch den Ausschluss von Tätigkeiten über Kopf, mit Schlägen und Vibrationen auf die linke Schulter sowie mit rein repetitivem Charakter für die linke Schulter Rechnung getragen. Eine Handverletzung, wie sie die in der Verwaltungsgerichtsbeschwerde angeführte Rechtsprechung voraussetzt, liegt dagegen nicht vor. Das Zumutbarkeitsprofil kann demnach prinzipiell ausgehend vom kreisärztlichen Bericht über die Abschlussuntersuchung vom 23. Oktober 2003 formuliert werden, wobei jedoch die dortigen Aussagen unter Einbezug der übrigen medizinischen Akten zu interpretieren sind.</w:t>
      </w:r>
    </w:p>
    <w:p>
      <w:r>
        <w:rPr>
          <w:b/>
        </w:rPr>
        <w:t>E. 4.2</w:t>
      </w:r>
    </w:p>
    <w:p>
      <w:r>
        <w:t>Das mutmassliche Einkommen ohne gesundheitliche Einschränkung (Valideneinkommen) haben Vorinstanz und SUVA gestützt auf die Angaben der Arbeitgeberin vom 23. und 29. Juli 2003 mit Fr. 74'035.- beziffert. Dies ist unbestrittenermassen korrekt.</w:t>
      </w:r>
    </w:p>
    <w:p>
      <w:r>
        <w:rPr>
          <w:b/>
        </w:rPr>
        <w:t>E. 4.3</w:t>
      </w:r>
    </w:p>
    <w:p>
      <w:r>
        <w:t>Für die Bestimmung des Verdienstes, welches der Versicherte trotz der unfallbedingten gesundheitlichen Beeinträchtigung im Zeitpunkt des Rentenbeginns ( BGE 128 V 174 f. Erw. 4a) hätte erzielen können, stellte das kantonale Gericht auf die vom Bundesamt für Statistik herausgegebene Schweizerische Lohnstrukturerhebung (LSE) ab. Dieses Vorgehen ist gerechtfertigt, nachdem der Beschwerdeführer die Aufnahme einer Erwerbstätigkeit abgelehnt hat ( BGE 126 V 76 f. Erw. 3b/bb). Der Vorinstanz kann jedoch insoweit nicht gefolgt werden, als sie von einer Tätigkeit in der angestammten Branche "Be- und Verarbeitung von Holz" ausging. Denn nach Lage der medizinischen Unterlagen, insbesondere mit Blick auf die zitierten Aussagen im Austrittsbericht der Rehaklinik C.________ vom 7. Juli 2003, sowie in Anbetracht des Alters des Versicherten (bei Rentenbeginn 62 Jahre und 3 Monate) ist es diesem nicht möglich, in seine frühere Tätigkeit zurückzukehren. Stattdessen ist er darauf angewiesen, die verbliebene Restarbeitsfähigkeit in einer leichteren Arbeit zu verwerten, welche dem aus medizinischer Sicht formulierten Anforderungsprofil entspricht. Angesichts der insoweit fehlenden spezifischen Fachkenntnisse wird es sich um eine Beschäftigung im Bereich der einfachen und repetitiven Tätigkeiten handeln müssen, wobei keine Einschränkungen auf bestimmte Branchen bestehen. Ausgehend vom entsprechenden Tabellenwert für Männer (LSE 2002 S. 43 Tabelle A1, Anforderungsniveau 4, Total) von Fr. 4557.-, nach Hochrechnung dieses 40 Wochenstunden entsprechenden Betrags auf die durchschnittliche betriebsübliche Arbeitszeit im Jahr 2003 von 41.7 Stunden (Die Volkswirtschaft 3-2006 S. 90 Tabelle B9.2), unter Berücksichtigung der allgemeinen Lohnentwicklung von 2002 auf 2003 (+ 1.4 %; Die Volkswirtschaft, a.a.O., S. 91 Tabelle B10.2) sowie bei Vornahme des vorinstanzlich berücksichtigten Prozentabzugs (dazu BGE 126 V 79 f. Erw. 5b mit Hinweisen) von 20 %, der sich im Rahmen der Angemessenheitsprüfung ( BGE 126 V 81 Erw. 6) nicht beanstanden lässt, resultiert ein Invalideneinkommen von Fr. 46'245.-. In Gegenüberstellung zum Valideneinkommen von Fr. 74'035.- ergibt sich ein Invaliditätsgrad von (gerundet, BGE 130 V 121 ) 38 %.</w:t>
      </w:r>
    </w:p>
    <w:p>
      <w:r>
        <w:rPr>
          <w:b/>
        </w:rPr>
        <w:t>E. 5</w:t>
      </w:r>
    </w:p>
    <w:p>
      <w:r>
        <w:t>Das Verfahren hat Versicherungsleistungen zum Gegenstand und ist deshalb kostenlos ( Art. 134 OG ). Der teilweise obsiegende Beschwerdeführer hat Anspruch auf eine reduzierte Parteientschädigung (Art. 159 Abs. 2 und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