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29/02 vom 8. Juli 2003</w:t>
      </w:r>
    </w:p>
    <w:p>
      <w:r>
        <w:t>Bundesgericht, 2003-07-08, DE</w:t>
      </w:r>
    </w:p>
    <w:p>
      <w:r>
        <w:rPr>
          <w:b/>
        </w:rPr>
        <w:t xml:space="preserve">Quelle: </w:t>
      </w:r>
      <w:r>
        <w:t>https://mcp.opencaselaw.ch/entscheid/bger_U_29_02</w:t>
      </w:r>
    </w:p>
    <w:p>
      <w:r>
        <w:t>FR: TF U 29/02 du 8 juillet 2003</w:t>
      </w:r>
    </w:p>
    <w:p>
      <w:r>
        <w:t>IT: TF U 29/02 del 8 luglio 2003</w:t>
      </w:r>
    </w:p>
    <w:p>
      <w:pPr>
        <w:pStyle w:val="Heading2"/>
      </w:pPr>
      <w:r>
        <w:t>Regeste</w:t>
      </w:r>
    </w:p>
    <w:p>
      <w:r>
        <w:t>Unfallversicherung</w:t>
      </w:r>
    </w:p>
    <w:p>
      <w:pPr>
        <w:pStyle w:val="Heading2"/>
      </w:pPr>
      <w:r>
        <w:t>Erwägungen</w:t>
      </w:r>
    </w:p>
    <w:p>
      <w:r>
        <w:rPr>
          <w:b/>
        </w:rPr>
        <w:t>E. 1</w:t>
      </w:r>
    </w:p>
    <w:p>
      <w:r>
        <w:t>Gemäss Art. 110 Abs. 4 OG findet ein zweiter Schriftenwechsel nur ausnahmsweise statt. Die Voraussetzungen hiefür sind vorliegend offensichtlich nicht gegeben ( BGE 119 V 323 Erw. 1, 94 I 662 Erw. 1b mit weiteren Hinweisen), weshalb diesem Rechtsbegehren nicht stattgegeben werden kann.</w:t>
      </w:r>
    </w:p>
    <w:p>
      <w:r>
        <w:rPr>
          <w:b/>
        </w:rPr>
        <w:t>E. 2</w:t>
      </w:r>
    </w:p>
    <w:p>
      <w:r>
        <w:t>Streitig und zu prüfen ist, ob für die Zeit ab dem 21. Januar 1995 ein behandlungsbedürftiger und/oder zu Arbeitsunfähigkeit führender Gesundheitsschaden auszumachen ist, welcher in natürlich und adäquat kausaler Weise auf den versicherten Unfall vom 19. August 1994 zurückzuführen ist.</w:t>
      </w:r>
    </w:p>
    <w:p>
      <w:r>
        <w:rPr>
          <w:b/>
        </w:rPr>
        <w:t>E. 2.1</w:t>
      </w:r>
    </w:p>
    <w:p>
      <w:r>
        <w:t>Das kantonale Gericht hat die dafür massgeblichen gesetzlichen Bestimmungen und rechtsprechungsgemässen Grundsätze, worunter die Regeln zur richterlichen Würdigung von medizinischen Berichten und Gutachten ( BGE 125 V 352 Erw. 3) sowie zur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(vgl. auch RKUV 2001 Nr. U 419 S. 101), zutreffend dargelegt. Darauf wird verwiesen. Zu ergänzen ist, dass das am 1. Januar 2003 in Kraft getretene Bundesgesetz über den Allgemeinen Teil (ATSG) vom 6. Oktober 2000 im hier zu beurteilenden Fall nicht anwendbar ist, da nach dem massgebenden Zeitpunkt des Erlasses des strittigen Einspracheentscheides vom 12. September 2000 eingetretene Rechts- und Sachverhaltsänderungen vom Sozialversicherungsgericht nicht berücksichtigt werden ( BGE 127 V 467 Erw. 1, 121 V 366 Erw. 1b).</w:t>
      </w:r>
    </w:p>
    <w:p>
      <w:r>
        <w:rPr>
          <w:b/>
        </w:rPr>
        <w:t>E. 2.2</w:t>
      </w:r>
    </w:p>
    <w:p>
      <w:r>
        <w:t>Die Vorinstanz hat - wie bereits die Beschwerdegegnerin im Administrativ- sowie im Einspracheverfahren - entscheidwesentlich auf die Berichte des Kreisarztes Dr. med. L.________ vom 30. September 1994 und vom 19. Januar 1995 abgestellt. Sie würdigte diese als voll beweiskräftig ( BGE 125 V 352 Erw. 3) und erachtete es auch im Lichte der übrigen medizinischen Akten als erstellt, dass nach dem 20. Januar 1995 - als Datum des durch die Beschwerdegegnerin verfügten Fallabschlusses - mit überwiegender Wahrscheinlichkeit keine Unfallfolgen mehr vorgelegen hätten. Dieser Schluss wird durch das im kantonalen Prozess betreffend Leistungen nach IVG erstattete, für den unfallversicherungsrechtlichen Entscheid vorinstanzlich beigezogene Gerichtsgutachten des PD Dr. med. B.________, Leiter Wirbelsäulenchirurgie an der Orthopädischen Klinik Y.________, vom 9. November 2000 samt Ergänzung vom 26. März 2001 bekräftigt. Der Gerichtsgutachter diagnostizierte einen Status nach Rückenkontusion mit Lumboischialgie bei Discusdegeneration L5/S1 und lumbosacraler Übergangsanomalie. Bei der Untersuchung hätten sich keine Hinweise auf ein bestehendes Rückenleiden ergeben; 1994 habe eine Discusprotrusion in Kontakt zur Nervenwurzel vorgelegen, was durchaus ein radikuläres Reizsyndrom zu erklären vermöge. Das damals erlittene Bagatelltrauma könne als Ursache für eine vorübergehende Verschlimmerung eines vorbestehenden Zustandes qualifiziert werden. Insgesamt handle es sich aber um einen relativ geringfügigen morphologischen Befund, der mit einer Wiedererlangung einer vollständigen Beschwerdefreiheit vereinbar sei. Der klinische Verlauf bestätige diese Ansicht.</w:t>
      </w:r>
    </w:p>
    <w:p>
      <w:r>
        <w:rPr>
          <w:b/>
        </w:rPr>
        <w:t>E. 2.3</w:t>
      </w:r>
    </w:p>
    <w:p>
      <w:r>
        <w:t>Was der Beschwerdeführer dagegen vorbringen lässt, vermag zu keinem anderen Ergebnis zu führen.</w:t>
      </w:r>
    </w:p>
    <w:p>
      <w:r>
        <w:rPr>
          <w:b/>
        </w:rPr>
        <w:t>E. 2.3.1</w:t>
      </w:r>
    </w:p>
    <w:p>
      <w:r>
        <w:t>Der relevante medizinische Sachverhalt ist umfassend dokumentiert. Es besteht kein Anlass zu weiteren Beweisvorkehren.</w:t>
      </w:r>
    </w:p>
    <w:p>
      <w:r>
        <w:rPr>
          <w:b/>
        </w:rPr>
        <w:t>E. 2.3.2</w:t>
      </w:r>
    </w:p>
    <w:p>
      <w:r>
        <w:t>Die Behauptung, der Beschwerdeführer, welcher nach einer im Sommer 2000 erfolgreich abgeschlossenen Lehre als Koch seit dem 14. August 2001 die Führung des elterlichen Restaurants übernommen hat, habe gesundheitsbedingt die Tätigkeit als Maurer aufgeben müssen, ist nach Lage der Akten nicht stichhaltig. Mit der Vorinstanz ist von einer bloss vorübergehenden Verschlimmerung des Gesundheitszustandes als Folge des versicherten Unfalles vom 19. August 1994 auszugehen, ohne dass deswegen ein Berufswechsel zwingend geboten gewesen wäre. Dies indiziert auch der Umstand, dass während der späteren Lehre zum Koch keine rückenbedingten Arbeitsunfähigkeiten auftraten, wiewohl diese Tätigkeit im Hinblick auf ihre Schwere und vor allem die überwiegend stehende Arbeitsposition keinesfalls als ideal beurteilt werden kann für Personen, die über Rückenbeschwerden klagen.</w:t>
      </w:r>
    </w:p>
    <w:p>
      <w:r>
        <w:rPr>
          <w:b/>
        </w:rPr>
        <w:t>E. 2.3.3</w:t>
      </w:r>
    </w:p>
    <w:p>
      <w:r>
        <w:t>Anders als der Beschwerdeführer anzunehmen scheint, ist die leistungsaufhebende Tatsache erstellt, wonach mit überwiegender Wahrscheinlichkeit keine Unfallfolgen mehr vorliegen, weshalb der vorinstanzliche Entscheid auch unter diesem Blickwinkel bundesrechtskonform ist.</w:t>
      </w:r>
    </w:p>
    <w:p>
      <w:r>
        <w:rPr>
          <w:b/>
        </w:rPr>
        <w:t>E. 3</w:t>
      </w:r>
    </w:p>
    <w:p>
      <w:r>
        <w:t>Das Verfahren ist kostenlos ( Art. 134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