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292/02 vom 17. Dezember 2002</w:t>
      </w:r>
    </w:p>
    <w:p>
      <w:r>
        <w:t>Bundesgericht, 2002-12-17, FR</w:t>
      </w:r>
    </w:p>
    <w:p>
      <w:r>
        <w:rPr>
          <w:b/>
        </w:rPr>
        <w:t xml:space="preserve">Quelle: </w:t>
      </w:r>
      <w:r>
        <w:t>https://mcp.opencaselaw.ch/entscheid/bger_U_292_02</w:t>
      </w:r>
    </w:p>
    <w:p>
      <w:r>
        <w:t>FR: TF U 292/02 du 17 décembre 2002</w:t>
      </w:r>
    </w:p>
    <w:p>
      <w:r>
        <w:t>IT: TF U 292/02 del 17 dicembre 2002</w:t>
      </w:r>
    </w:p>
    <w:p>
      <w:pPr>
        <w:pStyle w:val="Heading2"/>
      </w:pPr>
      <w:r>
        <w:t>Regeste</w:t>
      </w:r>
    </w:p>
    <w:p>
      <w:r>
        <w:t>Assurance-accidents</w:t>
      </w:r>
    </w:p>
    <w:p>
      <w:pPr>
        <w:pStyle w:val="Heading2"/>
      </w:pPr>
      <w:r>
        <w:t>Erwägungen</w:t>
      </w:r>
    </w:p>
    <w:p>
      <w:r>
        <w:rPr>
          <w:b/>
        </w:rPr>
        <w:t>E. 1</w:t>
      </w:r>
    </w:p>
    <w:p>
      <w:r>
        <w:t>Les décisions de la Commission fédérale de recours en matière d'assurance- accidents prises en application de l' art. 109 LAA peuvent être déférées au Tribunal fédéral des assurances par la voie du recours de droit administratif.</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Selon l' art. 52 PA , le mémoire de recours indique les conclusions, motifs et moyens de preuve et porte la signature du recourant ou de son mandataire; celui-ci y joint l'expédition de la décision attaquée et les pièces invoquées comme moyens de preuve, lorsqu'elles se trouvent en ses mains (al. 1); si le recours ne satisfait pas à ces exigences, ou si les conclusions ou les motifs du recourant n'ont pas la clarté nécessaire, sans que le recours soit manifestement irrecevable, l'autorité de recours lui impartit un court délai supplémentaire pour le régulariser (al. 2). Pour être recevable, la motivation d'un recours au sens de l' art. 52 PA doit indiquer sur quels points et pour quelles raisons la décision entreprise est contestée. En particulier, si le recourant s'en prend aux faits retenus, il doit au moins indiquer dans quelle mesure ils sont inexacts ou incomplets (Kölz/Häner, Verwaltungsverfahren und Verwaltungsrechtspflege des Bundes, 2e éd., Zurich 1998, n. 603 p. 216; Rhinow/Koller/Kiss, Öffentliches Prozessrecht und Justizverfassungsrecht des Bundes, Bâle 1996, n. 1315 p. 252). Si les conclusions et les motifs font entièrement défaut, l'autorité doit tout de même impartir au recourant un court délai supplémentaire pour y remédier. Il ne faut toutefois pas en déduire que l'acte de recours n'est soumis à aucune exigence formelle minimale. En effet, même si le législateur n'a pas voulu poser des exigences élevées en la matière et si le respect des prescriptions de forme n'est pas jugé selon des critères sévères, le justiciable doit quand même apporter un minimum de soin dans la rédaction de son écriture. Pour que cette dernière puisse être considérée comme un recours au sens de l' art. 52 PA , il doit au moins exprimer sa volonté d'intervenir comme recourant et d'obtenir la modification d'une situation juridique déterminée créée par une décision qui le touche personnellement ( ATF 117 Ia 131 consid. 5c ; Archives 68 p. 434 consid. 3b/cc ).</w:t>
      </w:r>
    </w:p>
    <w:p>
      <w:r>
        <w:rPr>
          <w:b/>
        </w:rPr>
        <w:t>E. 4</w:t>
      </w:r>
    </w:p>
    <w:p>
      <w:r>
        <w:t>En l'espèce, le premier juge a considéré, à juste titre, que ni le recours du 17 juillet 2002, ni son complément du 27 août 2002 - déposé en application de l' art. 52 al. 2 PA - ne satisfont aux exigences précitées. En effet, la recourante ne fait qu'énumérer une correspondance échangée avec l'intimée, en demandant à la Commission fédérale de recours de faire appel à son bon sens et à l'équité pour qu'elle puisse continuer à être assurée auprès d'un autre compagnie d'assurances. Or, il n'appartient pas à une autorité de recours de faire des recherches dans les pièces du dossier pour déterminer, notamment, quel est l'objet du litige et de quoi pourrait se plaindre le recourant ( ATF 123 V 336 consid. 1a).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