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290/99 vom 2. Mai 2000</w:t>
      </w:r>
    </w:p>
    <w:p>
      <w:r>
        <w:t>Bundesgericht, 2000-05-02, FR</w:t>
      </w:r>
    </w:p>
    <w:p>
      <w:r>
        <w:rPr>
          <w:b/>
        </w:rPr>
        <w:t xml:space="preserve">Quelle: </w:t>
      </w:r>
      <w:r>
        <w:t>https://mcp.opencaselaw.ch/entscheid/bger_U_290_99</w:t>
      </w:r>
    </w:p>
    <w:p>
      <w:r>
        <w:t>FR: TF U 290/99 du 2 mai 2000</w:t>
      </w:r>
    </w:p>
    <w:p>
      <w:r>
        <w:t>IT: TF U 290/99 del 2 maggio 2000</w:t>
      </w:r>
    </w:p>
    <w:p>
      <w:pPr>
        <w:pStyle w:val="Heading2"/>
      </w:pPr>
      <w:r>
        <w:t>Regeste</w:t>
      </w:r>
    </w:p>
    <w:p>
      <w:r>
        <w:t>Assurance-accidents</w:t>
      </w:r>
    </w:p>
    <w:p>
      <w:pPr>
        <w:pStyle w:val="Heading2"/>
      </w:pPr>
      <w:r>
        <w:t>Erwägungen</w:t>
      </w:r>
    </w:p>
    <w:p>
      <w:r>
        <w:rPr>
          <w:b/>
        </w:rPr>
        <w:t>E. 1</w:t>
      </w:r>
    </w:p>
    <w:p>
      <w:r>
        <w:t>Le litige porte sur le caractère de maladie professionnelle de la maladie de Kienböck dont est atteint l'assuré selon un diagnostic aujourd'hui incontesté.</w:t>
      </w:r>
    </w:p>
    <w:p>
      <w:r>
        <w:rPr>
          <w:b/>
        </w:rPr>
        <w:t>E. 2</w:t>
      </w:r>
    </w:p>
    <w:p>
      <w:r>
        <w:t>a) Selon l' art. 9 al. 1 LAA ,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 art. 14 OLAA , le Conseil fédéral a dressé à l'annexe I de l'OLAA la liste des substances nocives, d'une part, et la liste de certaines affections, ainsi que des travaux qui les provoquent, d'autre part. Selon la jurisprudence, la définition du risque assuré est des plus restrictives et la liste figurant en annexe I à l'OLAA est exhaustive (RAMA 1999 no U 326 p. 108 consid. 2 et la référence). b)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En revanche, l'exigence d'une relation exclusive signifie que la maladie professionnelle est due pratiquement à 100 % à l'action de la substance nocive ou du travail indiqué ( ATF 119 V 200 sv. consid. 2a et la référence). c) En l'espèce, les «maladies dues aux vibrations» figurent sur la liste des affections dues au travail - au sens de l' art. 9 al. 1 LAA - établie selon l' art. 14 OLAA , à l'annexe I de l'OLAA. Les premiers juges ont cependant considéré qu'il n'y avait pas lieu d'analyser le cas sous l'angle de cette disposition, dans la mesure où les conditions de l' art. 9 al. 2 LAA étaient réunies.</w:t>
      </w:r>
    </w:p>
    <w:p>
      <w:r>
        <w:rPr>
          <w:b/>
        </w:rPr>
        <w:t>E. 3</w:t>
      </w:r>
    </w:p>
    <w:p>
      <w:r>
        <w:t>Aux termes de l' art. 9 al. 2 LAA ,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 art. 9 al. 1 LAA ( ATF 116 V 141 consid. 5a et les références). Selon la jurisprudence, l'exigence d'une relation exclusive ou nettement prépondérante est réalisée lorsque la maladie professionnelle résulte à 75 % au moins de l'activité professionnelle ( ATF 119 V 201 consid. 2b). En d'autres termes, il faut que les cas d'atteintes pour un groupe professionnel déterminé soient quatre fois plus nombreux que ceux enregistrés dans la population en général (cf. ATF 116 V 143 consid. 5c; RAMA 1999 no U 326 p. 108 sv. consid. 2).</w:t>
      </w:r>
    </w:p>
    <w:p>
      <w:r>
        <w:rPr>
          <w:b/>
        </w:rPr>
        <w:t>E. 4</w:t>
      </w:r>
    </w:p>
    <w:p>
      <w:r>
        <w:t>a) La Cour cantonale a retenu l'existence d'une maladie professionnelle au sens de l' art. 9 al. 2 LAA en se fondant sur le rapport d'expertise du docteur Y.________ et sur le fait que celui-ci n'était pas contredit par le rapport du docteur S.________. Or, l'expertise du docteur Y.________ - qui est un spécialiste en rhumatologie et non pas en chirurgie de la main - ne répond pas aux exigences de la jurisprudence relative à la valeur probante d'un tel document ( ATF 125 V 352 consid. 3a) sur le point, ici déterminant, du caractère de maladie professionnelle de l'affection dont souffre l'assuré. b) Contrairement à ce que retient l'expert, on ne saurait affirmer que «la pathologie due aux vibrations comprend souvent des atteintes ostéo-articulaires, notamment la maladie de Kienböck». En effet, il ressort de la brochure N° 16 de la CNA («Troubles de la santé dus aux vibrations», lettres E et G) que les affections dues aux vibrations peuvent être classées en deux groupes : lésions ostéo-articulaires (dont la fréquence varie entre 0,1 à 0,2 % pour les auteurs les plus restrictifs et 20 à 40 % pour les autres) et les atteintes vasomotrices périphériques (atteignant, selon la littérature, 1 % à 94 % des personnes exposées). La maladie du semi-lunaire ou maladie de Kienböck fait partie des lésions ostéo-articulaires que les spécialistes ont pu observer, mais dont certains auteurs ont contesté qu'elle puisse résulter de l'action des vibrations (ad. E 2.1.3.). Il en découle que les conclusions du docteur Y.________ à cet égard relèvent d'une hypothèse peu, voire pas du tout documentée. Par ailleurs, le docteur Y.________ a retenu que l'assuré travaillait parfois huit heures d'affilée au marteau-piqueur, et en tout cas deux à trois fois par jour à la plaque vibrante pour refermer les fouilles, ce qui était apte à favoriser les lésions constatées, au regard de la brochure N° 16 de la CNA (E. 2.1.1). Or cette affirmation est contredite par les déclarations de l'assuré du 14 mars 1996, dont il ressort que, depuis 1977, son activité principale consistait à conduire, pendant huit heures environ, des machines de chantier (notamment une pellemécanique), une neuvième heure étant consacrée à des travaux nécessitant l'utilisation de la pioche, de la pelle et du marteau-piqueur. Au demeurant, il avait abandonné le travail au marteau-piqueur depuis environ deux ans, soit en tout cas une année avant l'apparition des troubles. De surcroît, le docteur Y.________ s'est contenté d'affirmer, sans preuves ou statistiques à l'appui, que la maladie de Kienböck résulte à 75 % au moins de l'activité professionnelle exercée par l'assuré. L'examen aurait pourtant dû porter sur la fréquence des cas de cette affection dans le groupe professionnel auquel appartient J.________ et sur le point de savoir si les atteintes de ce type sont quatre fois plus nombreuses que celles enregistrées dans la population en général (cf. consid. 3 ci-dessus). Dans ces circonstances, c'est à tort que les premiers juges ont retenu que cette affection revêtait le caractère de maladie professionnelle au sens de l' art. 9 al. 2 LAA , sur la base du dossier dont ils disposaient.</w:t>
      </w:r>
    </w:p>
    <w:p>
      <w:r>
        <w:rPr>
          <w:b/>
        </w:rPr>
        <w:t>E. 5</w:t>
      </w:r>
    </w:p>
    <w:p>
      <w:r>
        <w:t>Cela étant et, contrairement à ce que soutient la CNA, les rapports du docteur S.________ des 22 juillet 1996 et 15 septembre 1999 ne sauraient non plus avoir pleine valeur probante, dans la mesure où, partant de la constatation que la maladie de Kienböck a une étiologie multifactorielle, ce médecin en tire la conclusion générale qu'il est tout au plus possible que cette dernière soit due à l'activité professionnelle de J.________. En particulier, le docteur S.________ n'a pas examiné personnellement le prénommé, n'a donc pas entendu ses plaintes et n'a pas établi d'anamnèse proprement dite. Au surplus, ce praticien ne cite qu'un seul article de spécialistes sur cette affection, alors que ces derniers se réfèrent à plus d'une vingtaine de publications en la matière.</w:t>
      </w:r>
    </w:p>
    <w:p>
      <w:r>
        <w:rPr>
          <w:b/>
        </w:rPr>
        <w:t>E. 6</w:t>
      </w:r>
    </w:p>
    <w:p>
      <w:r>
        <w:t>Si, en l'état du dossier, l'existence d'une maladie professionnelle ne peut être établie au degré de la vraisemblance prépondérante, on ne saurait pourtant nier d'emblée tout caractère professionnel à l'affection dont souffre l'assuré. Il est dès lors nécessaire de recourir à une expertise judiciaire - qui sera confiée à un spécialiste de la maladie de Kienböck - pour déterminer si et dans quelle mesure cette affection a été contractée par l'assuré dans l'exercice de son travail. A cette fin, la cause doit être renvoyée à la Cour cantonale pour complément d'instruction et nouveau jugement.</w:t>
      </w:r>
    </w:p>
    <w:p>
      <w:r>
        <w:rPr>
          <w:b/>
        </w:rPr>
        <w:t>E. 7</w:t>
      </w:r>
    </w:p>
    <w:p>
      <w:r>
        <w:t>Les frais de la cause seront supportés par l'intimée qui succombe, sans qu'il soit nécessaire de se demander s'il s'agit d'un procès en matière d'octroi ou de refus de prestations d'assurance, ce qui est douteux au regard du dispositif du jugement attaqué ( ATF 120 V 494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