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290/01 vom 17. Juli 2002</w:t>
      </w:r>
    </w:p>
    <w:p>
      <w:r>
        <w:t>Bundesgericht, 2002-07-17, FR</w:t>
      </w:r>
    </w:p>
    <w:p>
      <w:r>
        <w:rPr>
          <w:b/>
        </w:rPr>
        <w:t xml:space="preserve">Quelle: </w:t>
      </w:r>
      <w:r>
        <w:t>https://mcp.opencaselaw.ch/entscheid/bger_U_290_01</w:t>
      </w:r>
    </w:p>
    <w:p>
      <w:r>
        <w:t>FR: TF U 290/01 du 17 juillet 2002</w:t>
      </w:r>
    </w:p>
    <w:p>
      <w:r>
        <w:t>IT: TF U 290/01 del 17 luglio 2002</w:t>
      </w:r>
    </w:p>
    <w:p>
      <w:pPr>
        <w:pStyle w:val="Heading2"/>
      </w:pPr>
      <w:r>
        <w:t>Regeste</w:t>
      </w:r>
    </w:p>
    <w:p>
      <w:r>
        <w:t>Assurance-accidents</w:t>
      </w:r>
    </w:p>
    <w:p>
      <w:pPr>
        <w:pStyle w:val="Heading2"/>
      </w:pPr>
      <w:r>
        <w:t>Erwägungen</w:t>
      </w:r>
    </w:p>
    <w:p>
      <w:r>
        <w:rPr>
          <w:b/>
        </w:rPr>
        <w:t>E. 1</w:t>
      </w:r>
    </w:p>
    <w:p>
      <w:r>
        <w:t>Les premiers juges ont correctement exposé la réglementation légale sur les maladies professionnelles - laquelle se fonde sur un système combiné d'une liste ( art. 9 al. 1 LAA ; Annexe I de l'OLAA) et d'une clause générale ( art. 9 al. 2 LAA ) -, de sorte qu'on peut renvoyer au jugement entrepris sur ce point.</w:t>
      </w:r>
    </w:p>
    <w:p>
      <w:r>
        <w:rPr>
          <w:b/>
        </w:rPr>
        <w:t>E. 2</w:t>
      </w:r>
    </w:p>
    <w:p>
      <w:r>
        <w:t>A juste titre, la juridiction cantonale a estimé que le présent cas ne relève pas de l' art. 9 al. 1 LAA , ce qu'admet d'ailleurs aussi le recourant. En effet, ni la substance à laquelle ce dernier a été exposé (la paraphénylène diamine), ni le genre de maladie qu'il présente, ne figure dans la double liste des substances nocives et des affections dues à certains travaux contenue dans l'Annexe I de l'OLAA (chiffres 1 et 2). Dès lors, peut seule entrer en ligne de compte la reconnaissance d'une maladie professionnelle en vertu de l' art. 9 al. 2 LAA . Aux termes de cette disposition,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établie par le Conseil fédéral conformément aux art. 9 al. 1 LAA et 14 OLAA. L'exigence d'une relation exclusive ou nettement prépondérante est réalisée lorsque la maladie professionnelle résulte à 75% au moins de l'activité professionnelle ( ATF 119 V 201 consid. 2b).</w:t>
      </w:r>
    </w:p>
    <w:p>
      <w:r>
        <w:rPr>
          <w:b/>
        </w:rPr>
        <w:t>E. 3</w:t>
      </w:r>
    </w:p>
    <w:p>
      <w:r>
        <w:t>En l'occurrence, il est constant que le recourant souffre d'une allergie à la paraphénylène diamine (cf. rapport du docteur M.________ du 11 juillet 1999), et qu'il a travaillé au contact de cette substance aussi bien dans son activité principale en tant que coiffeur indépendant que dans celle, accessoire, d'enseignant auprès de l'Association des maîtres-coiffeurs de X.________. Il est également établi que dans cette dernière occupation, son temps d'activité ne dépassait pas 14 jours par an. Qu'il existe un lien de causalité qualifié entre l'influence de la substance incriminée et l'affection dont est atteint P.________ ne prête pas à discussion. Pas plus d'ailleurs le fait que le prénommé ait été contraint de quitter son poste d'enseignant en raison de cette affection. Mais là n'est pas la question. Pour que l'intimée soit tenue de verser des prestations en relation avec l' art. 9 al. 2 LAA , est seule décisive la preuve que la maladie du recourant provient pour 75% au moins de l'activité professionnelle assurée (cf. Maurer, Schweizerisches Unfallversicherungsrecht, 1985, p. 217), à savoir dans le cas particulier celle qu'il a déployée en sa qualité d'enseignant. Or, du moment que le recourant a été pareillement exposé à la substance allergisante dans son activité professionnelle principale et dans celle exercée à titre accessoire, et que la durée d'exposition pendant cette dernière activité ne représente que le 10% au plus de l'exposition totale qu'il a subie tout au long de l'année (14 jours sur environ 225 jours ouvrables), il n'est en tout état de cause pas possible d'admettre que l'apparition de son allergie puisse résulter à 75% au moins de son occupation comme enseignant (exclusivement). Une telle différence de proportion entre ces deux périodes d'exposition suffit en soi à exclure l'existence d'une relation causale qualifiée, de sorte qu'il n'est pas nécessaire d'ordonner encore un complément de preuves sur ce point comme le demande subsidiairement le recourant. Aussi, la Winterthur était-elle fondée, par sa décision sur opposition du 21 décembre 2000, à nier tout droit aux prestations. Le jugement attaqué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