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265/04 vom 23. September 2005</w:t>
      </w:r>
    </w:p>
    <w:p>
      <w:r>
        <w:t>Bundesgericht, 2005-09-23, FR</w:t>
      </w:r>
    </w:p>
    <w:p>
      <w:r>
        <w:rPr>
          <w:b/>
        </w:rPr>
        <w:t xml:space="preserve">Quelle: </w:t>
      </w:r>
      <w:r>
        <w:t>https://mcp.opencaselaw.ch/entscheid/bger_U_265_04</w:t>
      </w:r>
    </w:p>
    <w:p>
      <w:r>
        <w:t>FR: TF U 265/04 du 23 septembre 2005</w:t>
      </w:r>
    </w:p>
    <w:p>
      <w:r>
        <w:t>IT: TF U 265/04 del 23 settembre 2005</w:t>
      </w:r>
    </w:p>
    <w:p>
      <w:pPr>
        <w:pStyle w:val="Heading2"/>
      </w:pPr>
      <w:r>
        <w:t>Regeste</w:t>
      </w:r>
    </w:p>
    <w:p>
      <w:r>
        <w:t>Assurance-accidents | Assurance-accidents</w:t>
      </w:r>
    </w:p>
    <w:p>
      <w:pPr>
        <w:pStyle w:val="Heading2"/>
      </w:pPr>
      <w:r>
        <w:t>Erwägungen</w:t>
      </w:r>
    </w:p>
    <w:p>
      <w:r>
        <w:rPr>
          <w:b/>
        </w:rPr>
        <w:t>E. 1</w:t>
      </w:r>
    </w:p>
    <w:p>
      <w:r>
        <w:t>Dans son recours cantonal, le recourant s'est plaint de ne pas avoir eu connaissance du rapport des docteurs R.________ et F.________ du 30 juillet 1999. A cet égard, il précise en procédure fédérale qu'il n'a jamais eu la possibilité de soumettre des questions supplémentaires aux experts et que leur expertise ne lui a été soumise qu'au moment où l'intimée a déposé sa réponse. Pour ce motif, estime-t-il, le jugement attaqué devrait être annulé. L'intimée reconnaît qu'elle n'a pas respecté le droit du recourant d'être entendu. Toutefois, elle soutient que le vice de procédure a été réparé, dès lors que le recourant a pu s'exprimer sur le rapport d'expertise en procédure de recours de première instance.</w:t>
      </w:r>
    </w:p>
    <w:p>
      <w:r>
        <w:rPr>
          <w:b/>
        </w:rPr>
        <w:t>E. 2.1</w:t>
      </w:r>
    </w:p>
    <w:p>
      <w:r>
        <w:t>La jurisprudence, rendue sous l'empire de l' art. 4 aCst. et qui s'applique également à l' art. 29 al. 2 Cst. (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 ATF 127 V 437 consid. 3d/aa, 126 V 132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 ATF 127 V 437 consid. 3d/aa, 126 I 72, 126 V 132 consid. 2b et les références).</w:t>
      </w:r>
    </w:p>
    <w:p>
      <w:r>
        <w:rPr>
          <w:b/>
        </w:rPr>
        <w:t>E. 2.2</w:t>
      </w:r>
    </w:p>
    <w:p>
      <w:r>
        <w:t>La loi fédérale sur la partie générale des assurances sociales (LPGA) du 6 octobre 2000, entrée en vigueur le 1er janvier 2003, n'est pas applicable au présent litige, dès lors que le juge des assurances sociales n'a pas à prendre en considération les modifications du droit ou de l'état de fait postérieures à la date déterminante de la décision litigieuse du 3 avril 2000 ( ATF 129 V 4 consid. 1.2).</w:t>
      </w:r>
    </w:p>
    <w:p>
      <w:r>
        <w:rPr>
          <w:b/>
        </w:rPr>
        <w:t>E. 2.3</w:t>
      </w:r>
    </w:p>
    <w:p>
      <w:r>
        <w:t>La LAA ne contient pas de normes relatives à l'administration des preuves ou au droit des parties de collaborer à l'instruction de leur cause. Il faut dès lors s'en remettre aux règles de la PA qui s'appliquent non seulement à la Caisse nationale suisse d'assurance en cas d'accidents, mais également, par analogie, aux assureurs privés autorisés à pratiquer l'assurance-accidents obligatoire à teneur de l' art. 68 al. 1 LAA ( ATF 120 V 361 consid. 1c). Aux termes de l' art. 19 PA , les art. 37, 39 à 41 et 43 à 61 PCF sont applicables par analogie à la procédure probatoire. Lorsqu'il ordonne une expertise, l'assureur-accidents doit s'en tenir à la procédure prévue aux art. 57 ss PCF , veillant ainsi à ce que les parties puissent collaborer à l'administration des preuves (RAMA 1993 n° U 167 p. 96 consid. 5b). C'est ainsi que l'assureur doit donner à l'assuré l'occasion de s'exprimer sur le libellé des questions à poser à l'expert et de proposer des modifications et des adjonctions ( art. 57 al. 2 PCF ). Au surplus, il doit lui laisser la possibilité de faire des objections à l'encontre des personnes qu'il se propose de désigner comme experts ( art. 58 al. 2 PCF ). Enfin, l'assuré doit avoir la faculté de requérir des éclaircissements et des compléments ou une nouvelle expertise ( art. 60 al. 1 PCF ; ATF 120 V 360 consid. 1b; RAMA 1996 n° U 265 p. 291 consid. 2b). Le droit d'une partie de se déterminer sur un rapport d'expertise découle du reste de son droit d'être entendue, garanti par l' art. 4 Cst. ( ATF 120 V 362 consid. 1c). En revanche, les règles de procédure régissant, selon l' art. 19 PA en relation avec les art. 57 ss PCF , la mise en oeuvre d'expertises sur des circonstances de la cause qui exigent des connaissances spéciales (en particulier les règles sur la récusation prévues à l' art. 58 PCF en relation avec les art. 22 et 23 OJ ) ne sont pas applicables aux rapports et expertises des médecins liés à l'assureur ( ATF 123 V 331 ). Lorsque l'assureur-accidents ordonne une expertise avant de rendre une décision au sens de l' art. 99 LAA , il doit respecter le droit de l'assuré d'être entendu à ce stade déjà, sans attendre la phase - éventuelle - de la procédure d'opposition prévue par l' art. 105 LAA . S'il omet de le faire, privant ainsi l'assuré de la faculté d'exercer les droits qui lui confèrent les art. 57 ss PCF , le vice de procédure ne peut être réparé, du moins lorsque l'expertise constitue l'élément central et prépondérant de l'instruction ( ATF 120 V 363 consid. 2b; RAMA 2000 n° U 369 p. 104 consid. 2b, 1996 n° U 265 p. 294 consid. 3c).</w:t>
      </w:r>
    </w:p>
    <w:p>
      <w:r>
        <w:rPr>
          <w:b/>
        </w:rPr>
        <w:t>E. 3</w:t>
      </w:r>
    </w:p>
    <w:p>
      <w:r>
        <w:t>En l'espèce, l'intimée n'a pas informé le recourant de son intention de mandater le professeur R.________ à fin d'expertise et ne l'a pas associé non plus à la procédure probatoire. Par ailleurs, elle ne lui a pas donné connaissance du rapport que ce médecin avait déposé avec son confrère F.________ le 30 juillet 1999, avant de statuer le 3 avril 2000. L'intimée a donc manifestement violé le droit du recourant d'être entendu. Par ailleurs, l'expertise en cause constitue l'élément central et prépondérant de l'instruction, à l'appui duquel l'intimée a mis fin au versement de ses prestations (voir le consid. 4b p. 7 de la décision du 3 avril 2000). Comme le vice ne peut être réparé à ce stade de la procédure (cf. consid. 2.1 ci-dessus), la décision sur opposition litigieuse du 3 avril 2000 sera donc annulée pour ce seul motif et la cause renvoyée à l'intimée afin qu'elle donne à nouveau à l'assuré la possibilité de se prononcer sur l'expertise et rende une nouvelle décision.</w:t>
      </w:r>
    </w:p>
    <w:p>
      <w:r>
        <w:rPr>
          <w:b/>
        </w:rPr>
        <w:t>E. 4</w:t>
      </w:r>
    </w:p>
    <w:p>
      <w:r>
        <w:t>Vu l'issue du litige, il est superflu d'examiner plus avant les autres éléments sur la base desquels l'intimée a fondé sa décision litigieuse, même si l'on peut raisonnablement s'interroger sur l'exigibilité d'une activité de skipper en hiver. Quant à l'étendue des gains qu'un tel emploi est supposé procurer à celui qui l'exerce, elle n'a pas été établie dans le cadre de la comparaison des revenus.</w:t>
      </w:r>
    </w:p>
    <w:p>
      <w:r>
        <w:rPr>
          <w:b/>
        </w:rPr>
        <w:t>E. 5</w:t>
      </w:r>
    </w:p>
    <w:p>
      <w:r>
        <w:t>Le recourant, qui obtient gain de cause, a droit à une indemnité de dépens à charge de l'intimée ( art. 159 al. 1 OJ ). Sa demande d'assistance judiciaire n'a dès lors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