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U_255/2003 vom 29. März 2004</w:t>
      </w:r>
    </w:p>
    <w:p>
      <w:r>
        <w:t>Bundesgericht, 2004-03-29, DE</w:t>
      </w:r>
    </w:p>
    <w:p>
      <w:r>
        <w:rPr>
          <w:b/>
        </w:rPr>
        <w:t xml:space="preserve">Quelle: </w:t>
      </w:r>
      <w:r>
        <w:t>https://mcp.opencaselaw.ch/entscheid/bger_U_255_2003</w:t>
      </w:r>
    </w:p>
    <w:p>
      <w:r>
        <w:t>FR: TF U_255/2003 du 29 mars 2004</w:t>
      </w:r>
    </w:p>
    <w:p>
      <w:r>
        <w:t>IT: TF U_255/2003 del 29 marzo 2004</w:t>
      </w:r>
    </w:p>
    <w:p>
      <w:pPr>
        <w:pStyle w:val="Heading2"/>
      </w:pPr>
      <w:r>
        <w:t>Erwägungen</w:t>
      </w:r>
    </w:p>
    <w:p>
      <w:r>
        <w:rPr>
          <w:b/>
        </w:rPr>
        <w:t>E. 1</w:t>
      </w:r>
    </w:p>
    <w:p>
      <w:r>
        <w:t>Wie das kantonale Gericht zu Recht festgehalten hat, ist das am 1. Januar 2003 in Kraft getretene Bundesgesetz über den Allgemeinen Teil des Sozialversicherungsrechts (ATSG) vom 6. Oktober 2000 im vorliegenden Fall nicht anwendbar, da nach dem massgebenden Zeitpunkt des Erlasses des streitigen Einspracheentscheides (Dezember 2002) eingetretene Rechts- und Sachverhaltsänderungen vom Sozialversicherungsgericht nicht berücksichtigt werden ( BGE 129 V 4 Erw. 1.2; RKUV 2001 Nr. U 419 S. 101 Erw. 2). Die Vorinstanz hat im Weiteren die Informationspflicht der Unfallversicherer und Arbeitgeber korrekt dargelegt ( Art. 72 UVV ; BGE 121 V 28 ).</w:t>
      </w:r>
    </w:p>
    <w:p>
      <w:r>
        <w:rPr>
          <w:b/>
        </w:rPr>
        <w:t>E. 2</w:t>
      </w:r>
    </w:p>
    <w:p>
      <w:r>
        <w:t>Zu Recht nicht umstritten ist, dass die Beschwerdeführerin im November 2001 nicht mehr obligatorisch bei der SUVA versichert gewesen ist ( Art. 3 Abs. 2 UVG ) und dass sie keine Abredeversicherung nach Art. 3 Abs. 3 UVG abgeschlossen hat. Streitig ist dagegen, ob die ehemalige Arbeitgeberin über die Möglichkeit der Abredeversicherung genügend informiert hat und sich die SUVA diese Unterlassung in der Weise anrechnen lassen muss, dass sie aus Vertrauensschutz ( BGE 121 V 66 Erw. 2a) leistungspflichtig wird (vgl. BGE 121 V 34 Erw. 2c). Zu prüfen ist damit, ob und welche Informationspflichten die SUVA und die ehemalige Arbeitgeberin (als Organ der Versicherungsdurchführung; BGE 121 V 34 Erw. 2c) wahrzunehmen haben, ob diese im vorliegenden Fall verletzt wurden und welche Folgen sich bejahendenfalls daraus ergeben.</w:t>
      </w:r>
    </w:p>
    <w:p>
      <w:r>
        <w:rPr>
          <w:b/>
        </w:rPr>
        <w:t>E. 2.1</w:t>
      </w:r>
    </w:p>
    <w:p>
      <w:r>
        <w:t>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 BGE 121 V 31 f. Erw. 1c). Hingegen ergebe sich aus der allgemeinen Informationspflicht des Versicherers ( Art. 72 UVV )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 Art. 72 Satz 2 UVV )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 BGE 121 V 34 Erw. 2c mit Hinweisen; RKUV 2000 Nr. U 387 S. 274 f. Erw. 3b).</w:t>
      </w:r>
    </w:p>
    <w:p>
      <w:r>
        <w:rPr>
          <w:b/>
        </w:rPr>
        <w:t>E. 2.2</w:t>
      </w:r>
    </w:p>
    <w:p>
      <w:r>
        <w:t>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 Art. 6 BV )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w:t>
      </w:r>
    </w:p>
    <w:p>
      <w:r>
        <w:rPr>
          <w:b/>
        </w:rPr>
        <w:t>E. 2.3</w:t>
      </w:r>
    </w:p>
    <w:p>
      <w:r>
        <w:t>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w:t>
      </w:r>
    </w:p>
    <w:p>
      <w:r>
        <w:rPr>
          <w:b/>
        </w:rPr>
        <w:t>E. 2.4</w:t>
      </w:r>
    </w:p>
    <w:p>
      <w:r>
        <w:t>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w:t>
      </w:r>
    </w:p>
    <w:p>
      <w:r>
        <w:t>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