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255/03 vom 29. März 2004</w:t>
      </w:r>
    </w:p>
    <w:p>
      <w:r>
        <w:t>Bundesgericht, 2004-03-29, DE</w:t>
      </w:r>
    </w:p>
    <w:p>
      <w:r>
        <w:rPr>
          <w:b/>
        </w:rPr>
        <w:t xml:space="preserve">Quelle: </w:t>
      </w:r>
      <w:r>
        <w:t>https://mcp.opencaselaw.ch/entscheid/bger_U_255_03</w:t>
      </w:r>
    </w:p>
    <w:p>
      <w:r>
        <w:t>FR: TF U 255/03 du 29 mars 2004</w:t>
      </w:r>
    </w:p>
    <w:p>
      <w:r>
        <w:t>IT: TF U 255/03 del 29 marzo 2004</w:t>
      </w:r>
    </w:p>
    <w:p>
      <w:pPr>
        <w:pStyle w:val="Heading2"/>
      </w:pPr>
      <w:r>
        <w:t>Regeste</w:t>
      </w:r>
    </w:p>
    <w:p>
      <w:r>
        <w:t>Unfallversicherung</w:t>
      </w:r>
    </w:p>
    <w:p>
      <w:pPr>
        <w:pStyle w:val="Heading2"/>
      </w:pPr>
      <w:r>
        <w:t>Erwägungen</w:t>
      </w:r>
    </w:p>
    <w:p>
      <w:r>
        <w:rPr>
          <w:b/>
        </w:rPr>
        <w:t>E. 1</w:t>
      </w:r>
    </w:p>
    <w:p>
      <w:r>
        <w:t>Wie das kantonale Gericht zu Recht festgehalten hat, ist das am 1. Januar 2003 in Kraft getretene Bundesgesetz über den Allgemeinen Teil des Sozialversicherungsrechts (ATSG) vom 6. Oktober 2000 im vorliegenden Fall nicht anwendbar, da nach dem massgebenden Zeitpunkt des Erlasses des streitigen Einspracheentscheides (Dezember 2002) eingetretene Rechts- und Sachverhaltsänderungen vom Sozialversicherungsgericht nicht berücksichtigt werden ( BGE 129 V 4 Erw. 1.2; RKUV 2001 Nr. U 419 S. 101 Erw. 2). Die Vorinstanz hat im Weiteren die Informationspflicht der Unfallversicherer und Arbeitgeber korrekt dargelegt ( Art. 72 UVV ; BGE 121 V 28 ).</w:t>
      </w:r>
    </w:p>
    <w:p>
      <w:r>
        <w:rPr>
          <w:b/>
        </w:rPr>
        <w:t>E. 2</w:t>
      </w:r>
    </w:p>
    <w:p>
      <w:r>
        <w:t>Zu Recht nicht umstritten ist, dass die Beschwerdeführerin im November 2001 nicht mehr obligatorisch bei der SUVA versichert gewesen ist ( Art. 3 Abs. 2 UVG ) und dass sie keine Abredeversicherung nach Art. 3 Abs. 3 UVG abgeschlossen hat. Streitig ist dagegen, ob die ehemalige Arbeitgeberin über die Möglichkeit der Abredeversicherung genügend informiert hat und sich die SUVA diese Unterlassung in der Weise anrechnen lassen muss, dass sie aus Vertrauensschutz ( BGE 121 V 66 Erw. 2a) leistungspflichtig wird (vgl. BGE 121 V 34 Erw. 2c). Zu prüfen ist damit, ob und welche Informationspflichten die SUVA und die ehemalige Arbeitgeberin (als Organ der Versicherungsdurchführung; BGE 121 V 34 Erw. 2c) wahrzunehmen haben, ob diese im vorliegenden Fall verletzt wurden und welche Folgen sich bejahendenfalls daraus ergeben.</w:t>
      </w:r>
    </w:p>
    <w:p>
      <w:r>
        <w:rPr>
          <w:b/>
        </w:rPr>
        <w:t>E. 2.1</w:t>
      </w:r>
    </w:p>
    <w:p>
      <w:r>
        <w:t>In einem Fall, in welchem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 BGE 121 V 31 f. Erw. 1c). Hingegen ergebe sich aus der allgemeinen Informationspflicht des Versicherers ( Art. 72 UVV )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 Art. 72 Satz 2 UVV )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erfüllt sind ( BGE 121 V 34 Erw. 2c mit Hinweisen; RKUV 2000 Nr. U 387 S. 274 f. Erw. 3b).</w:t>
      </w:r>
    </w:p>
    <w:p>
      <w:r>
        <w:rPr>
          <w:b/>
        </w:rPr>
        <w:t>E. 2.2</w:t>
      </w:r>
    </w:p>
    <w:p>
      <w:r>
        <w:t>Wie die Abklärung der SUVA ergeben hat, sind in den vom Personal der Eisenbahn X.________ benutzten Räumen Informationen der SUVA über die Abredeversicherung angeschlagen; weiter haben Arbeitskollegen der Beschwerdeführerin Abredeversicherungen abgeschlossen, was bedeutet, dass sie über diese Möglichkeit informiert worden sind. Eine - hier erfolgte - Information durch allgemeinen Anschlag ist für die Erfüllung der Informationspflicht gemäss Art. 72 UVV ausreichend (vgl. BGE 121 V 33 Erw. 2b mit Literaturhinweis), so wurde denn auch in RKUV 2000 Nr. U 387 S. 277 Erw. 4c implizit eine Information durch Broschüren als grundsätzlich genügend vorausgesetzt (auch wenn dies im konkreten Fall nicht ausreichend gewesen und nicht korrekt erfolgt ist). Das Genügen eines allgemein zugänglichen Aushangs für die Erfüllung der Informationspflicht ist insbesondere auch im Zusammenhang mit der Eigenverantwortung ( Art. 6 BV )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Dies ist hier um so mehr der Fall, als in den Lohnabrechnungen jeweils der vorgenommene Abzug für die Nichtberufsunfallversicherung ausgewiesen und damit monatlich die Problematik der Unfallversicherung in Erinnerung gerufen worden ist. Eine Sensibilisierung für den Unfallversicherungsschutz wäre im Übrigen um so mehr zu erwarten gewesen, als die Beschwerdeführerin bereits im Juni 2001 einen Unfall erlitten hatte und in der Folge bis zum 8. August 2001 arbeitsunfähig gewesen ist. Würde der Auffassung in der Verwaltungsgerichtsbeschwerde gefolgt, welche letztlich eine explizite Information in jedem Einzelfall verlangt, liefe dies schlussendlich darauf hinaus, einem Arbeitnehmer bei der Kündigung alles und jedes - nicht nur betreffend Abredeversicherung - mitteilen zu müssen; ein dermassen umfangreicher Informationskatalog würde in der Folge nicht mehr gelesen (vgl. das Beispiel bei Gunther Arzt, Strafbarkeit juristischer Personen: Andersen, vom Märchen zum Alptraum, Schweizerische Zeitschrift für Wirtschaftsrecht 2002, S. 233 Fn 23: Viele Käufer eines Fernglases werden die voluminöse Bedienungsanleitung mit absurden Warnungen nicht lesen, sodass ihnen auch der sinnvolle Hinweis entgeht, mit dem Fernglas nicht in die Sonne zu schauen). Im Übrigen kann die Beschwerdeführerin auch nichts zu ihren Gunsten daraus ableiten, dass ein vom Inspektor der SUVA im Juni 2002 befragter Angestellter der Eisenbahn X.________ den Aushang über die Abredeversicherung nicht gekannt hat, da dieser Mitarbeiter - anders als die Beschwerdeführerin - allenfalls gar keine Veranlassung hatte, sich über die Versicherungsdeckung nach einer Kündigung Gedanken zu machen.</w:t>
      </w:r>
    </w:p>
    <w:p>
      <w:r>
        <w:rPr>
          <w:b/>
        </w:rPr>
        <w:t>E. 2.3</w:t>
      </w:r>
    </w:p>
    <w:p>
      <w:r>
        <w:t>An der Erfüllung der Informationspflicht (Erw. 2.2 hievor) ändert die Tatsache nichts, dass der Inspektor der SUVA am 20. Juni 2002 festgestellt hat, die Informationen der SUVA seien am Bahnhof in Y.________ - Arbeitsort der Beschwerdeführerin - nicht angeschlagen gewesen; dies war offenbar nach einem erfolgten Umbau des Gebäudes unterlassen worden. Die Beschwerdeführerin hatte einerseits während ihrer Anstellung seit 1996 Gelegenheit, die angeschlagenen Informationen in den diversen von ihr benutzten Räumen in unterschiedlichen Bahnstationen zur Kenntnis zu nehmen. Diese Informationen waren andererseits auch ab dem Zeitpunkt des Umbaus in Y.________ in den für das Personal vorgesehenen Räumen in anderen Bahnhöfen angeschlagen, wobei ausser Zweifel steht, dass sich die Beschwerdeführerin in ihrer Eigenschaft als Kondukteurin an solchen Orten aufgehalten hat. Damit ist die Informationspflicht im Sinne des Art. 72 UVV jedoch auch während der Zeit erfüllt worden, in der in Y.________ keine Informationen ausgehängt gewesen sind.</w:t>
      </w:r>
    </w:p>
    <w:p>
      <w:r>
        <w:rPr>
          <w:b/>
        </w:rPr>
        <w:t>E. 2.4</w:t>
      </w:r>
    </w:p>
    <w:p>
      <w:r>
        <w:t>Die Beschwerdeführerin ist der Auffassung, dass die ehemalige Arbeitgeberin mit Schreiben vom 5. September 2001 nicht auf die Abredeversicherung hingewiesen habe, und dass ihr dieser Brief zu spät geschickt worden sei, da sie sich zu dieser Zeit bereits im Ausland aufgehalten habe, was der Eisenbahn X.________ bekannt gewesen sei. Es trifft zwar zu, dass die ehemalige Arbeitgeberin mit Schreiben vom 5. September 2001 nicht auf die Möglichkeit der Abredeversicherung (jedoch auf das Ende des Unfallversicherungsschutzes) hingewiesen hat. Da jedoch eine Information mittels Aushang am Anschlagbrett ausreichend ist (vgl. Erw. 2.2 hievor), ändert die Nichterwähnung der Abredeversicherung im Schreiben nichts an der Rechtslage. Damit haben die SUVA und die ehemalige Arbeitgeberin die Informationspflicht gemäss Art. 72 UVV mittels Aushang korrekt erfüllt; eine Verletzung der Informationspflicht ist nicht erstellt und eine Leistungspflicht der SUVA in der Folge zu verneinen (vgl. BGE 121 V 34 Erw. 2b in fine).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