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251/02 vom 30. Januar 2003</w:t>
      </w:r>
    </w:p>
    <w:p>
      <w:r>
        <w:t>Bundesgericht, 2003-01-30, FR</w:t>
      </w:r>
    </w:p>
    <w:p>
      <w:r>
        <w:rPr>
          <w:b/>
        </w:rPr>
        <w:t xml:space="preserve">Quelle: </w:t>
      </w:r>
      <w:r>
        <w:t>https://mcp.opencaselaw.ch/entscheid/bger_U_251_02</w:t>
      </w:r>
    </w:p>
    <w:p>
      <w:r>
        <w:t>FR: TF U 251/02 du 30 janvier 2003</w:t>
      </w:r>
    </w:p>
    <w:p>
      <w:r>
        <w:t>IT: TF U 251/02 del 30 gennaio 2003</w:t>
      </w:r>
    </w:p>
    <w:p>
      <w:pPr>
        <w:pStyle w:val="Heading2"/>
      </w:pPr>
      <w:r>
        <w:t>Regeste</w:t>
      </w:r>
    </w:p>
    <w:p>
      <w:r>
        <w:t>Assurance-accidents</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l'assurance-accidents. Cependant, le cas d'espèce reste régi par les dispositions de la LAA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Dans ses déterminations, l'intimé conclut subsidiairement à la réforme du jugement cantonal et à l'octroi d'une rente au taux de 50 %. Une telle conclusion constitue toutefois une demande reconventionnelle assimilable à un recours joint. Or, la Cour de céans a déjà jugé que l'institution du recours joint au recours de droit administratif est inconnue. La partie qui, comme en l'espèce, n'a pas interjeté recours de droit administratif dans le délai légal, ne peut que proposer l'irrecevabilité ou le rejet du recours formé par la partie adverse. Elle n'a plus la faculté de prendre des conclusions indépendantes ( ATF 120 V 127 consid. 6, 114 V 245 consid. 4 et les références). Il faut cependant rappeler que lorsque le litige concerne l'octroi ou le refus de prestations d'assurance, comme c'est le cas ici, le Tribunal fédéral des assurances peut s'écarter des conclusions des parties, à l'avantage ou au détriment de celles-ci ( art. 132 let . c OJ). Rien n'empêche par conséquent la partie intimée de développer dans sa réponse au recours une argumentation qui conduira éventuellement le juge à réformer à son avantage la décision entreprise. Mais ces suggestions n'ont pas la valeur de conclusions formelles.</w:t>
      </w:r>
    </w:p>
    <w:p>
      <w:r>
        <w:rPr>
          <w:b/>
        </w:rPr>
        <w:t>E. 3</w:t>
      </w:r>
    </w:p>
    <w:p>
      <w:r>
        <w:t>Le litige porte sur le droit à la rente d'invalidité et plus précisément sur le taux de celle-ci. Dans sa décision litigieuse, la recourante a fixé ce taux à 25 % en considérant, sur la base de l'instruction qu'elle a menée, que l'intimé était pleinement en mesure d'exercer une activité exigible. Cette estimation divergeait de celle émanant des organes de l'assurance-invalidité qui considéraient, en particulier, que l'intimé ne présentait qu'une capacité de travail de 66,6 %. Pour sa part, la juridiction cantonale a renoncé à appliquer les règles de coordination avec l'assurance-invalidité et à statuer sur une question qui était pourtant manifestement de sa compétence, renvoyant sans motif sérieux le dossier à l'assureur-accidents pour qu'il motive sa position divergente. Eu égard au pouvoir d'examen du Tribunal fédéral des assurances, il ne se justifie pas, à titre exceptionnel, de renvoyer la cause aux premiers juges pour qu'ils statuent sur cette question, en application du principe d'économie de procédure.</w:t>
      </w:r>
    </w:p>
    <w:p>
      <w:r>
        <w:rPr>
          <w:b/>
        </w:rPr>
        <w:t>E. 3.1</w:t>
      </w:r>
    </w:p>
    <w:p>
      <w:r>
        <w:t>Dans son arrêt publié aux ATF 126 V 288 , le Tribunal fédéral des assurances a précisé sa jurisprudence concernant la coordination de l'évaluation de l'invalidité dans les différentes branches de l'assurance sociale. Il a notamment confirmé le caractère uniforme de la notion d'invalidité dans ces différentes branches (cf. art.16 de la Loi fédérale sur la partie générale du droit des assurances sociales du 6 octobre 2000, non applicable toutefois in casu; voir consid. 1), ainsi que son effet de coordination dans l'évaluation de l'invalidité. En revanche,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 ATF 119 V 471 consid. 2b) ou encore lorsqu'elle résulte d'une simple transaction conclue avec l'assuré ( ATF 112 V 175 s. consid. 2a). A ces motifs de divergence déjà reconnus antérieurement par la jurisprudence, il faut ajouter des mesures d'instruction extrêmement limitées et superficielles, ainsi qu'une évaluation pas du tout convaincante ou entachée d'inobjectivité ( ATF 126 V 288 ). Dans l'arrêt ATF 119 V 468 (474 consid. 4a), le Tribunal fédéral des assurances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(RAMA 2000 U 406 p. 402 et les références).</w:t>
      </w:r>
    </w:p>
    <w:p>
      <w:r>
        <w:rPr>
          <w:b/>
        </w:rPr>
        <w:t>E. 3.2</w:t>
      </w:r>
    </w:p>
    <w:p>
      <w:r>
        <w:t>En l'espèce, il existe suffisamment de motifs pour considérer que l'évaluation opérée par l'AI n'est pas du tout convaincante, partant qu'elle ne saurait lier l'assureur-accidents. En effet, d'une part, cette évaluation a été faite en faisant totalement abstraction de l'ensemble des avis médicaux qui figurent dans les dossiers médicaux des deux assureurs pour se fonder uniquement sur l'opinion non motivée du docteur R.________, médecin traitant (rapport du 5 juin 2000). D'autre part, l'estimation du revenu d'invalide pris en considération pour procéder à la comparaison des revenus résulte des chiffres émanant du service de réadaptation de l'assurance-invalidité. Or, on ignore totalement sur quelle base un salaire mensuel de 4000 fr. pour l'une des activités et de 2300 fr. pour l'autre a été retenu pour ces postes de travail. On ignore en particulier si de tels revenus correspondent aux indications fournies par des entreprises de la région ou s'ils ont été déterminés sur la base d'une enquête plus large. Au demeurant, il apparaît pour le moins douteux qu'un revenu d'invalide puisse être estimé par simple moyenne arithmétique entre des revenus aussi éloignés et dont l'un se situe à 60 % du salaire moyen pour les activités simples et répétitives des hommes selon l'Enquête suisse sur la structure des salaires 2000 (ESS) et dont on peut douter qu'il soit conforme aux usages professionnels.</w:t>
      </w:r>
    </w:p>
    <w:p>
      <w:r>
        <w:rPr>
          <w:b/>
        </w:rPr>
        <w:t>E. 4</w:t>
      </w:r>
    </w:p>
    <w:p>
      <w:r>
        <w:t>Selon le principe de la libre appréciation des preuves, qui s'applique aussi bien en procédure administrative qu'en procédure de recours de droit administratif ( art. 40 PCF en corrélation avec l' art. 19 PA ; art. 95 al. 2 OJ en liaison avec les art. 113 et 132 OJ ),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 ATF 122 V 160 consid. 1c et les références). Dans le cas particulier, et sous réserve de l'opinion divergente du docteur R.________ dont on a vu pour quels motifs il y avait lieu de s'écarter (cf. aussi ATF 125 V 353 consid. 3b/cc), les avis répétés et concordants du médecin d'arrondissement, bien étayés et fondés sur des examens médicaux complets, ainsi que sur l'ensemble du dossier médical, notamment les rapports du docteur C.________ et des médecins de la clinique de réadaptation de E.________, ont pleine valeur probante. Il en résulte que si l'assuré ne peut plus exercer la profession de manoeuvre dans une entreprise de construction, des activités légères, simples et ne nécessitant pas l'usage prolongé de la main gauche pour des travaux lourds sont exigibles.</w:t>
      </w:r>
    </w:p>
    <w:p>
      <w:r>
        <w:rPr>
          <w:b/>
        </w:rPr>
        <w:t>E. 5</w:t>
      </w:r>
    </w:p>
    <w:p>
      <w:r>
        <w:t>Pour l'évaluation de l'invalidité, le revenu du travail que l'assuré devenu invalide à la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18 al. 2, seconde phrase, LAA ). La comparaison des revenus à laquelle a procédé la recourante n'apparaît pas critiquable tant en ce qui concerne le revenu sans invalidité que le revenu d'invalide déduit des DPT produits en cause pour des activités exigibles. On n'aboutirait pas à un autre résultat en recourant aux données salariales publiées par l'Office fédéral de la statistique même en admettant une déduction maximum de 25 % (Enquête sur la structure des salaires; cf. ATF 126 V 76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