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248/02 vom 11. November 2002</w:t>
      </w:r>
    </w:p>
    <w:p>
      <w:r>
        <w:t>Bundesgericht, 2002-11-11, DE</w:t>
      </w:r>
    </w:p>
    <w:p>
      <w:r>
        <w:rPr>
          <w:b/>
        </w:rPr>
        <w:t xml:space="preserve">Quelle: </w:t>
      </w:r>
      <w:r>
        <w:t>https://mcp.opencaselaw.ch/entscheid/bger_U_248_02</w:t>
      </w:r>
    </w:p>
    <w:p>
      <w:r>
        <w:t>FR: TF U 248/02 du 11 novembre 2002</w:t>
      </w:r>
    </w:p>
    <w:p>
      <w:r>
        <w:t>IT: TF U 248/02 del 11 novembre 2002</w:t>
      </w:r>
    </w:p>
    <w:p>
      <w:pPr>
        <w:pStyle w:val="Heading2"/>
      </w:pPr>
      <w:r>
        <w:t>Regeste</w:t>
      </w:r>
    </w:p>
    <w:p>
      <w:r>
        <w:t>Unfallversicherung</w:t>
      </w:r>
    </w:p>
    <w:p>
      <w:pPr>
        <w:pStyle w:val="Heading2"/>
      </w:pPr>
      <w:r>
        <w:t>Erwägungen</w:t>
      </w:r>
    </w:p>
    <w:p>
      <w:r>
        <w:rPr>
          <w:b/>
        </w:rPr>
        <w:t>E. 1</w:t>
      </w:r>
    </w:p>
    <w:p>
      <w:r>
        <w:t>Der vorinstanzliche Entscheid ist bezüglich der Frage der Integritätsentschädigung unangefochten in Rechtskraft erwachsen. Streitig und zu prüfen ist die Rentenhöhe.</w:t>
      </w:r>
    </w:p>
    <w:p>
      <w:r>
        <w:rPr>
          <w:b/>
        </w:rPr>
        <w:t>E. 2</w:t>
      </w:r>
    </w:p>
    <w:p>
      <w:r>
        <w:t>Das kantonale Gericht hat die gesetzlichen Bestimmungen und die Grundsätze über den Anspruch auf Leistungen der Unfallversicherung im Allgemeinen ( Art. 6 Abs. 1 UVG ) und den Anspruch auf eine Invalidenrente ( Art. 18 Abs. 1 UVG ) zutreffend dargelegt. Ebenfalls richtig wiedergegeben wird die Rechtsprechung zur Aufgabe des Arztes im Rahmen der Invaliditätsbemessung ( BGE 125 V 261 Erw. 4 mit Hinweisen), zu dem im Sozialversicherungsrecht geltenden Untersuchungsgrundsatz und dem Beweisgrad der überwiegenden Wahrscheinlichkeit ( BGE 126 V 360 Erw. 5b, 125 V 195 Erw. 2, je mit Hinweisen) sowie zur Beweiswürdigung und zum Beweiswert eines Arztberichts ( BGE 125 V 352 Erw. 3a; AHI 2001 S. 113 Erw. 3). Darauf wird verwiesen. Zu ergänzen ist, dass als invalid gilt, wer voraussichtlich bleibend oder für längere Zeit in seiner Erwerbsfähigkeit beeinträchtigt ist ( Art. 18 Abs. 2 Satz 1 UVG ). Für die Bestimmung des Invaliditätsgrades wird das Erwerbseinkommen, das der Versicherte nach Eintritt der unfallbedingten Invalidität und nach Durchführung allfälliger Eingliederungsmassnahmen durch eine ihm zumutbare Tätigkeit bei ausgeglichener Arbeitsmarktlage erzielen könnte, in Beziehung gesetzt zum Erwerbseinkommen, das er erzielen könnte, wenn er nicht invalid geworden wäre ( Art. 18 Abs. 2 Satz 2 UVG ). Zu Recht hat die Vorinstanz bezüglich der Beurteilung der Arbeitsfähigkeit auf den Abschlussbericht des Kreisarztes Dr. med. S.________ vom 10. März 1999 abgestellt, welcher die Anforderungen an den Beweiswert eines Arztberichtes voll erfüllt. Danach ist der Versicherte in der Lage, Kontroll- und Überwachungsfunktionen, leichte, vorwiegend einhändig auszuführende Fliessbandarbeiten, Portierdienste, hausinterne Botengänge sowie einfache administrative Tätigkeiten ganztägig auszuführen. Die Angaben in den Berichten von Dr. med. T.________, Neurologie FMH, können nicht übernommen werden, da dieser Arzt selber davon ausgeht, der Versicherte leide mit weitgehender Sicherheit an einer unfallfremden Krankheit (Schreiben vom 26. November 2001). Demzufolge werden bei der Beurteilung von Dr. med. T.________ auch Leiden mit einbezogen, die ihre Ursache nicht im Unfall vom 11. Februar 1998 haben.</w:t>
      </w:r>
    </w:p>
    <w:p>
      <w:r>
        <w:rPr>
          <w:b/>
        </w:rPr>
        <w:t>E. 3</w:t>
      </w:r>
    </w:p>
    <w:p>
      <w:r>
        <w:t>Zu Recht hat die Vorinstanz bezüglich der Beurteilung der Arbeitsfähigkeit auf den Abschlussbericht des Kreisarztes Dr. med. S.________ vom 10. März 1999 abgestellt, welcher die Anforderungen an den Beweiswert eines Arztberichtes voll erfüllt. Danach ist der Versicherte in der Lage, Kontroll- und Überwachungsfunktionen, leichte, vorwiegend einhändig auszuführende Fliessbandarbeiten, Portierdienste, hausinterne Botengänge sowie einfache administrative Tätigkeiten ganztägig auszuführen. Die Angaben in den Berichten von Dr. med. T.________, Neurologie FMH, können nicht übernommen werden, da dieser Arzt selber davon ausgeht, der Versicherte leide mit weitgehender Sicherheit an einer unfallfremden Krankheit (Schreiben vom 26. November 2001). Demzufolge werden bei der Beurteilung von Dr. med. T.________ auch Leiden mit einbezogen, die ihre Ursache nicht im Unfall vom 11. Februar 1998 haben.</w:t>
      </w:r>
    </w:p>
    <w:p>
      <w:r>
        <w:rPr>
          <w:b/>
        </w:rPr>
        <w:t>E. 4</w:t>
      </w:r>
    </w:p>
    <w:p>
      <w:r>
        <w:t>Die Ermittlung des Invaliditätsgrades durch die Vorinstanz ist nicht zu beanstanden:</w:t>
      </w:r>
    </w:p>
    <w:p>
      <w:r>
        <w:rPr>
          <w:b/>
        </w:rPr>
        <w:t>E. 4.1</w:t>
      </w:r>
    </w:p>
    <w:p>
      <w:r>
        <w:t>Das Valideneinkommen berechnet sich anhand der Bestätigung der Arbeitgeberin vom 19. April 1999 und beträgt für das massgebliche Jahr 1999 Fr. 53'430.-. Die Angabe in der Verwaltungsgerichtsbeschwerde, wonach das - fälschlicherweise als Invalideneinkommen bezeichnete - Einkommen ohne gesundheitliche Beeinträchtigung Fr. 62'101.- beträgt, entbehrt jeglicher Grundlage.</w:t>
      </w:r>
    </w:p>
    <w:p>
      <w:r>
        <w:rPr>
          <w:b/>
        </w:rPr>
        <w:t>E. 4.2</w:t>
      </w:r>
    </w:p>
    <w:p>
      <w:r>
        <w:t>Auch die Bemessung des Invalideneinkommens von Fr. 53'681.- anhand der vom Bundesamt für Statistik herausgegebenen Lohnstrukturerhebung (LSE; BGE 126 V 76 Erw. 3b/bb; AHI 2002 S. 67 Erw. 3b) ist nicht zu beanstanden: Dem Beschwerdeführer ist eine einfache repetitive Arbeit mit dem Anforderungsniveau 4 zuzumuten, ist er doch nach eigenen Angaben in der Lage, kleinere Verrichtungen auch mit der linken, verletzten Hand auszuführen (vgl. Protokoll der vorinstanzlichen Verhandlung) und demzufolge diese als Hilfshand einzusetzen. Dass der Versicherte eingeschränkt ist, wird durch den leidensbedingten Abzug vom Tabellenlohn in der Höhe von 20 % angemessen berücksichtigt ( BGE 126 V 78 ff. Erw. 5; AHI 2002 S. 67 ff. Erw. 4), was zu einem Invalideneinkommen von Fr. 42'945.- bzw. zu einem Invaliditätsgsgrad von rund 20 % führt. Die Ansicht des Beschwerdeführers, von den DAP-Löhnen sei ein behinderungsbedingter Abzug vorzunehmen (zum Ganzen RKUV 1999 S. 412), ist für das vorliegende Verfahren deshalb ohne Belang, weil das Invalideneinkommen nicht anhand der DAP, sondern der LSE berechnet worden ist.</w:t>
      </w:r>
    </w:p>
    <w:p>
      <w:r>
        <w:rPr>
          <w:b/>
        </w:rPr>
        <w:t>E. 5</w:t>
      </w:r>
    </w:p>
    <w:p>
      <w:r>
        <w:t>Das Verfahren ist kostenlos ( Art. 134 OG ). Dem Gesuch um Gewährung der unentgeltlichen Verbeiständung kann entsprochen werden, da die hierfür nach Gesetz (Art. 152 in Verbindung mit Art. 135 OG ) und Rechtsprechung ( BGE 125 V 202 Erw. 4a und 372 Erw. 5b, je mit Hinweisen) erforderlichen Voraussetzungen erfüllt sind. Da sich die Verwaltungsgerichtsbeschwerde indessen weitgehend auf ein blosses Wiederholen der im vorinstanzlichen Verfahren geltend gemachten Beschwerdegründe beschränkt, ist eine Entschädigung in reduziertem Umfang zuzusprechen. Es wird zudem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