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214/00 vom 6. Februar 2002</w:t>
      </w:r>
    </w:p>
    <w:p>
      <w:r>
        <w:t>Bundesgericht, 2002-02-06, FR</w:t>
      </w:r>
    </w:p>
    <w:p>
      <w:r>
        <w:rPr>
          <w:b/>
        </w:rPr>
        <w:t xml:space="preserve">Quelle: </w:t>
      </w:r>
      <w:r>
        <w:t>https://mcp.opencaselaw.ch/entscheid/bger_U_214_00</w:t>
      </w:r>
    </w:p>
    <w:p>
      <w:r>
        <w:t>FR: TF U 214/00 du 6 février 2002</w:t>
      </w:r>
    </w:p>
    <w:p>
      <w:r>
        <w:t>IT: TF U 214/00 del 6 febbraio 2002</w:t>
      </w:r>
    </w:p>
    <w:p>
      <w:pPr>
        <w:pStyle w:val="Heading2"/>
      </w:pPr>
      <w:r>
        <w:t>Regeste</w:t>
      </w:r>
    </w:p>
    <w:p>
      <w:r>
        <w:t>Assurance-accidents</w:t>
      </w:r>
    </w:p>
    <w:p>
      <w:pPr>
        <w:pStyle w:val="Heading2"/>
      </w:pPr>
      <w:r>
        <w:t>Erwägungen</w:t>
      </w:r>
    </w:p>
    <w:p>
      <w:r>
        <w:rPr>
          <w:b/>
        </w:rPr>
        <w:t>E. 1</w:t>
      </w:r>
    </w:p>
    <w:p>
      <w:r>
        <w:t>Le litige porte uniquement sur le montant du revenu d'invalide de l'intimé et, par voie de conséquence, sur son taux d'invalidité ( art. 18 LAA ). Non contestée, la décision du 15 mai 1998 est entrée en force dans la mesure où elle fixait le degré et la valeur de l'indemnité pour atteinte à l'intégrité ( art. 24 et 25 LAA ).</w:t>
      </w:r>
    </w:p>
    <w:p>
      <w:r>
        <w:rPr>
          <w:b/>
        </w:rPr>
        <w:t>E. 2</w:t>
      </w:r>
    </w:p>
    <w:p>
      <w:r>
        <w:t>Selon l' art. 18 LAA ,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 ATF 126 V 76 -77 consid. 3b), singulièrement à la lumière de celles figurant dans l'enquête suisse sur la structure des salaires, publiée par l'Office fédéral de la statistique (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79 -80 consid. 5b/aa-cc).</w:t>
      </w:r>
    </w:p>
    <w:p>
      <w:r>
        <w:rPr>
          <w:b/>
        </w:rPr>
        <w:t>E. 3</w:t>
      </w:r>
    </w:p>
    <w:p>
      <w:r>
        <w:t>a) Le Tribunal administratif a considéré que la documentation (DPT) de la CNA est en principe pertinente pour évaluer le revenu d'un invalide, à la condition toutefois qu'un choix de cinq places de travail exigibles, au minimum, soit proposé. Dans le cas d'espèce, les premiers juges ont admis que seules quatre descriptions, parmi les six communiquées par la recourante, correspondaient au profil requis pour l'intimé. Ils en ont déduit que l'enquête économique était lacunaire et qu'un complément d'instruction s'imposait, cette tâche devant être dévolue à la CNA (consid. 7 p. 11 du jugement attaqué). b) C'est toutefois à tort que la juridiction cantonale a renvoyé le dossier à la CNA pour compléter l'enquête économique. En effet, dès lors qu'elle considérait que, parmi les postes de travail figurant sur les DPT, certains n'étaient pas adaptés et/ou pas exigibles, il lui appartenait soit d'interpeller d'office la CNA pour qu'elle produise d'autres DPT, soit de faire usage des salaires statistiques figurant sur l'enquête suisse sur la structure des salaires pour effectuer la comparaison des revenus (cf. ATF 124 V 321 ; arrêt C. du 8 mai 2001, U 402/99). Ainsi que le relève à juste titre la recourante, le salaire mensuel s'élève, selon la table TA1 de l'enquête de 1996, à 4294 fr. pour des activités simples et répétitives (niveau 4) exécutées par des hommes dans le secteur privé, durant 40 heures de travail. Ce salaire mensuel hypothétique, qui se base sur une durée hebdomadaire de travail inférieure à la moyenne usuelle dans les entreprises, doit être ajusté à 41,9 heures par semaine, de sorte qu'il faut retenir un salaire mensuel de 4498 fr. Si l'on appliquait un facteur de réductionc - maximal - de 25 % ( ATF 126 V 79 -80 consid. 5b/aa-cc), lequel n'est pas justifié en l'espèce, on parviendrait à un revenu d'invalide de 3373 fr. 50 (soit 40 482 fr. par année), légèrement inférieur à celui de 3500 fr. que la CNA avait retenu dans sa décision litigieuse. En le comparant au revenu annuel de 55 200 fr. (12 x 4600 fr.) réalisable sans invalidité, la perte de gain serait ainsi de 26,6 %, très proche du taux que la recourante avait pris en compte dans sa décision du 15 mai 1998. Le résultat serait sensiblement le même s'il était fait référence à la table TA13, car celle-ci retient un salaire mensuel moyen de 4308 fr. pour une activité de niveau 4 exercée par un homme dans la région lémanique; la perte de gain serait alors de 26,4 %. Quant aux données ressortant de l'enquête de 1998, publiées entre-temps (TA1 : 4268 fr.; TA13 : 4354 fr.), elles ne diffèrent pas sensiblement de celles de 1996, de sorte qu'elles n'ont pas d'incidence sur la solution du présent litige. Comme les premiers juges disposaient de tous les éléments nécessaires pour établir le revenu d'invalide de l'intimé, le renvoi de la cause pour complément d'instruction était injustifié. Le recours est bien fondé.</w:t>
      </w:r>
    </w:p>
    <w:p>
      <w:r>
        <w:rPr>
          <w:b/>
        </w:rPr>
        <w:t>E. 4</w:t>
      </w:r>
    </w:p>
    <w:p>
      <w:r>
        <w:t>a) Selon la loi ( art. 152 OJ ) et la jurisprudence, les conditions d'octroi de l'assistance judiciaire gratuite sont en principe remplies si le requérant est dans le besoin et si l'assistance d'un avocat est nécessaire ou du moins indiquée ( ATF 125 V 202 consid. 4a, 372 consid. 5b et les références). b) En l'espèce, l'intimé remplit ces conditions, de sorte que l'assistance judiciaire lui sera octroyée pour l'instance fédérale. L'intimé est toutefois rendu attentif au fait qu'il devra rembourser la caisse du tribunal s'il devient ultérieurement en mesure de le faire ( art. 152 al. 3 OJ ; ATF 124 V 309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