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191/99 vom 24. Januar 2001</w:t>
      </w:r>
    </w:p>
    <w:p>
      <w:r>
        <w:t>Bundesgericht, 2001-01-24, DE</w:t>
      </w:r>
    </w:p>
    <w:p>
      <w:r>
        <w:rPr>
          <w:b/>
        </w:rPr>
        <w:t xml:space="preserve">Quelle: </w:t>
      </w:r>
      <w:r>
        <w:t>https://mcp.opencaselaw.ch/entscheid/bger_U_191_99</w:t>
      </w:r>
    </w:p>
    <w:p>
      <w:r>
        <w:t>FR: TF U 191/99 du 24 janvier 2001</w:t>
      </w:r>
    </w:p>
    <w:p>
      <w:r>
        <w:t>IT: TF U 191/99 del 24 gennaio 2001</w:t>
      </w:r>
    </w:p>
    <w:p>
      <w:pPr>
        <w:pStyle w:val="Heading2"/>
      </w:pPr>
      <w:r>
        <w:t>Regeste</w:t>
      </w:r>
    </w:p>
    <w:p>
      <w:r>
        <w:t>Unfallversicherung</w:t>
      </w:r>
    </w:p>
    <w:p>
      <w:pPr>
        <w:pStyle w:val="Heading2"/>
      </w:pPr>
      <w:r>
        <w:t>Erwägungen</w:t>
      </w:r>
    </w:p>
    <w:p>
      <w:r>
        <w:rPr>
          <w:b/>
        </w:rPr>
        <w:t>E. 1</w:t>
      </w:r>
    </w:p>
    <w:p>
      <w:r>
        <w:t>a) In formellrechtlicher Hinsicht hat die Vorinstanz das Gutachten der MEDAS vom 26. Januar 1998 nicht berücksichtigt, weil lediglich der im Zeitpunkt des angefochtenen Einspracheentscheides vom 12. Dezember 1996 gegebene Sachverhalt massgebend sei. Dieser Auffassung kann nicht beigepflichtet werden. b) Es trifft zwar zu, dass für die richterliche Beurteilung eines Falles grundsätzlich die tatsächlichen Verhältnisse zur Zeit des Erlasses der angefochtenen Verwaltungsverfügung massgebend sind ( BGE 121 V 366 Erw. 1b mit Hinweisen). Tatsachen, die sich erst später verwirklichen, sind jedoch insoweit zu berücksichtigen, als sie mit dem Streitgegenstand in engem Sachzusammenhang stehen und geeignet sind, die Beurteilung im Zeitpunkt des Verfügungserlasses zu beeinflussen ( BGE 99 V 102 mit Hinweisen). Die Einschätzung der Arbeitsfähigkeit im Gutachten der MEDAS stützt sich einerseits auf die gesamten medizinischen Vorakten, die auch dem Einspracheentscheid vom 12. Dezember 1996 zu Grunde lagen, und anderseits auf die seitens des MEDAS-Experten sowie der beigezogenen Konsiliarärzte erhobenen Befunde und Diagnosen. Soweit Letztere neue medizinische Erkenntnisse zu Tage förderten, die im Zeitpunkt des angefochtenen Einspracheentscheides noch nicht bekannt waren, handelt es sich - wie noch darzulegen ist - um Krankheitsbilder, die mit den gesundheitlichen Folgen des Unfalles vom 31. März 1994 zusammenhängen und für deren Beurteilung von wesentlicher Bedeutung sind. Die Berücksichtigung der gutachtlichen Ergebnisse und Schlussfolgerungen ist daher formellrechtlich nicht nur zulässig, sondern drängt sich geradezu auf.</w:t>
      </w:r>
    </w:p>
    <w:p>
      <w:r>
        <w:rPr>
          <w:b/>
        </w:rPr>
        <w:t>E. 2</w:t>
      </w:r>
    </w:p>
    <w:p>
      <w:r>
        <w:t>Streitig und zu prüfen ist zunächst die Höhe der Invalidenrente. a) Die Vorinstanz hat die massgebenden Bestimmungen über den Begriff der Invalidität ( Art. 18 Abs. 2 Satz 1 UVG ), deren Bemessung nach der allgemeinen Methode des Einkommensvergleichs ( Art. 18 Abs. 2 Satz 2 UVG ; BGE 114 V 313 Erw. 3a) sowie die Rechtsprechung zur Bedeutung ärztlicher Auskünfte bei der Ermittlung des Invaliditätsgrades ( BGE 115 V 134 Erw. 2, 114 V 314 Erw. 3c, 105 V 158 f. Erw. 1) zutreffend dargelegt. Darauf kann verwiesen werden. b) aa) Zu ergänzen ist, dass die Leistungspflicht eines Unfallversicherers gemäss UVG zunächst voraussetzt,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 BGE 119 V 337 Erw. 1, 118 V 289 Erw. 1b, je mit Hinweisen).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 BGE 119 V 338 Erw. 1, 118 V 289 Erw. 1b, je mit Hinweisen). bb)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 BGE 125 V 461 Erw. 5a mit Hinweisen). Bei körperlichen Gesundheitsschäden spielt die Adäquanz als rechtliche Beschränkung der aus dem natürlichen Kausalzusammenhang sich ergebenden Haftung des Unfallversicherers praktisch keine Rolle, weil die Unfallversicherung auch für seltenste, schwerwiegendste Komplikationen haftet, welche nach der unfallmedizinischen Erfahrung im Allgemeinen gerade nicht einzutreten pflegen ( BGE 118 V 291 Erw. 3a mit Hinweis). Demgegenüber bildet das Adäquanzerfordernis bei psychogenen Unfallfolgen das massgebliche Kriterium für die Abgrenzung von haftungsbegründenden und haftungsausschliessenden Unfällen. Anknüpfend an die Art und Schwere der Unfallereignisse unterteilt die Rechtsprechung diese - ausgehend vom augenfälligen Geschehensablauf - in banale bzw. leichte, schwere und mittlere Unfälle und zieht bei letzteren weitere, unmittelbar mit dem Unfall zusammenhängende, objektiv fassbare Umstände für die Beurteilung der Adäquanz psychischer Unfallfolgen heran ( BGE 117 V 366 ff. Erw. 6a, 115 V 139 f. Erw. 6a und 6c/aa). c) aa) Gemäss Art. 36 Abs. 2 UVG werden die Invalidenrenten (sowie die Integritätsentschädigungen und die Hinterlassenenrenten) angemessen gekürzt, wenn die Gesundheitsschädigung oder der Tod nur teilweise die Folge eines Unfalles ist. Gesundheitsschädigungen vor dem Unfall, die zu keiner Verminderung der Erwerbsfähigkeit geführt haben, werden dabei nicht berücksichtigt ( Art. 36 Abs. 2 Satz 2 UVG ). Diese Bestimmung beinhaltet eine Durchbrechung des Kausalitätsprinzips für jene Fälle, in denen ein Gesundheitsschaden durch das Zusammentreffen konkurrierender, teils unfallbedingter, teils unfallfremder Ursachen bewirkt worden ist. Sie setzt demgemäss voraus, dass der Unfall und das nicht versicherte Ereignis eine bestimmte Gesundheitsschädigung gemeinsam verursacht haben. Dagegen ist diese Norm nicht anwendbar, wenn die beiden Einwirkungen einander nicht beeinflussende Schäden verursacht haben, so etwa wenn der Unfall und das nicht versicherte Ereignis verschiedene Körperteile betreffen und sich damit die Krankheitsbilder nicht überschneiden. Diesfalls sind die Folgen des versicherten Unfalles für sich allein zu bewerten ( BGE 121 V 333 Erw. 3c mit Hinweisen). bb) Nach Art. 36 Abs. 2 Satz 2 UVG ist die Kürzung einer Invalidenrente - nicht aber einer Integritätsentschädigung ( BGE 121 V 331 Erw. 3a mit Hinweisen) - wegen eines krankhaften Vorzustandes nur zulässig, wenn dieser zusammen mit dem Unfall die invalidisierende Gesundheitsschädigung verursacht und bereits vor dem Unfall zu einer (teilweisen) Erwerbsunfähigkeit geführt hat. Sowohl nach dem Wortlaut ("Erwerbsunfähigkeit") als auch nach dem Zweck (Erleichterung der Schadensabwicklung für den Versicherten) dieser Bestimmung muss es sich bei den Auswirkungen des unfallfremden Vorzustandes nicht nur um eine Beeinträchtigung der Arbeits- sondern der Erwerbsfähigkeit gehandelt haben. Mit anderen Worten muss der Vorzustand invalidisierenden Charakter und die bereits vor dem Unfall eingetretene Erwerbsunfähigkeit einen erheblichen Grad aufweisen, damit er eine Rentenkürzung rechtfertigen kann ( BGE 121 V 331 f. Erw. 3b).</w:t>
      </w:r>
    </w:p>
    <w:p>
      <w:r>
        <w:rPr>
          <w:b/>
        </w:rPr>
        <w:t>E. 3</w:t>
      </w:r>
    </w:p>
    <w:p>
      <w:r>
        <w:t>a) Der Beschwerdeführer rügt hinsichtlich der ihm noch zumutbaren Restarbeitsfähigkeit, das kantonale Gericht habe bei deren Beurteilung ausschliesslich auf das Gutachten des Dr. med. R.________ vom 2. Mai 1996 abgestellt, obgleich diesem aus verschiedenen Gründen die Beweiskraft fehle. b) Das Bundesrecht schreibt nicht vor, wie die einzelnen Beweismittel zu würdigen sind. Für das gesamte Verwaltungs- und Verwaltungsgerichtsbeschwerdeverfahren gilt der Grundsatz der freien Beweiswürdigung ( Art. 40 BZP in Verbindung mit Art. 19 VwVG ; Art. 95 Abs. 2 OG in Verbindung mit Art. 113 und 132 OG ). Danach haben Versicherungsträger und Sozialversicherungsgerichte die Beweise frei, d.h. ohne Bindung an förmliche Beweisregeln, sowie umfassend und pflichtgemäss zu würdigen. Für das Beschwerdeverfahren bedeutet dies, dass das Sozialversicherunsgericht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auf die eine und nicht auf die andere medizinische These abstellt wird.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sowie nachvollziehbar sind ( BGE 125 V 352 Erw. 3a mit Hinweis). Dr. med. R.________ hat in seinem Gutachten vom 2. Mai 1996 nebst dem Gesundheitsschaden im linken Fuss zwar auch ein chronisches lumbovertebrales Syndrom bei mässiggradigen degenerativen Veränderungen der LWS diagnostiziert, dieses bei der Diskussion der Unfallfolgen aber gänzlich ausser Acht gelassen und lediglich noch das Fussleiden berücksichtigt. Dadurch legte er seiner Einschätzung der Arbeitsfähigkeit nicht die medizinische Gesamtsituation zu Grunde. Zudem wurde der Gutachter durch die Fragestellung der Beschwerdegegnerin auf die Festsetzung der Arbeitsfähigkeit in Verweisungsberufen eingeschränkt (Securitaswächter, Portier, Disponent, Bürotätigkeit), die einem Versicherten, der wie der Beschwerdeführer Analphabet ist und nicht über die hiefür erforderliche Schul- und Berufsausbildung verfügt, nicht zumutbar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