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186/00 vom 12. Januar 2001</w:t>
      </w:r>
    </w:p>
    <w:p>
      <w:r>
        <w:t>Bundesgericht, 2001-01-12, FR</w:t>
      </w:r>
    </w:p>
    <w:p>
      <w:r>
        <w:rPr>
          <w:b/>
        </w:rPr>
        <w:t xml:space="preserve">Quelle: </w:t>
      </w:r>
      <w:r>
        <w:t>https://mcp.opencaselaw.ch/entscheid/bger_U_186_00</w:t>
      </w:r>
    </w:p>
    <w:p>
      <w:r>
        <w:t>FR: TF U 186/00 du 12 janvier 2001</w:t>
      </w:r>
    </w:p>
    <w:p>
      <w:r>
        <w:t>IT: TF U 186/00 del 12 gennaio 2001</w:t>
      </w:r>
    </w:p>
    <w:p>
      <w:pPr>
        <w:pStyle w:val="Heading2"/>
      </w:pPr>
      <w:r>
        <w:t>Regeste</w:t>
      </w:r>
    </w:p>
    <w:p>
      <w:r>
        <w:t>Assurance-accidents</w:t>
      </w:r>
    </w:p>
    <w:p>
      <w:pPr>
        <w:pStyle w:val="Heading2"/>
      </w:pPr>
      <w:r>
        <w:t>Erwägungen</w:t>
      </w:r>
    </w:p>
    <w:p>
      <w:r>
        <w:rPr>
          <w:b/>
        </w:rPr>
        <w:t>E. 1</w:t>
      </w:r>
    </w:p>
    <w:p>
      <w:r>
        <w:t>Le litige porte sur le point de savoir qui, de la Vaudoise ou de la FRV, est tenue à prestations après l'accident du 17 avril 1997, qui faisait suite à un précédent accident survenu le 25 juin 1994.</w:t>
      </w:r>
    </w:p>
    <w:p>
      <w:r>
        <w:rPr>
          <w:b/>
        </w:rPr>
        <w:t>E. 2</w:t>
      </w:r>
    </w:p>
    <w:p>
      <w:r>
        <w:t>a) L' art. 77 al. 3 LAA délègue au Conseil fédéral la compétence d'édicter des prescriptions sur l'obligation d'allouer des prestations et sur la collaboration des assureurs dans divers cas spéciaux, par exemple lorsqu'un nouvel accident se produit, notamment en cas de perte d'un organe pair ou d'autres modifications du degré d'invalidité (let. b). Sur la base de cette délégation de compétence, le Conseil fédéral a édicté l' art. 100 OLAA qui, à son deuxième alinéa, dispose ceci : «Si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Les autres assureurs intéressés lui remboursent ces prestations, sans allocations de renchérissement, selon le dommage leur incombant; ils se libèrent ainsi de leur obligation d'allouer des prestations. Les assureurs intéressés peuvent déroger par convention à cette règle, notamment si le nouvel accident a des conséquences considérablement moins graves que le précédent». b) Au vu des pièces médicales au dossier, les premiers juges ont considéré que le statu quo ante était déjà rétabli, s'agissant de l'accident du 15 avril 1997, trois mois après la survenance de celui-ci. Aussi bien ont-ils conclu que l'obligation de la FRV d'allouer des prestations se limitait à la période comprise entre le 15 avril et le 15 juillet 1997, après quoi la Vaudoise devait «reprendre ses prestations pour les suites de l'accident du 25 juin 1994». Estimant que «l'obligation des deux assureurs d'allouer leurs prestations ne se superpose pas, mais se succède sur deux périodes délimitées», ils n'ont pas appliqué l' art. 77 al. 3 let. b LAA . c) En l'espèce, l'assuré était régulièrement suivi sur le plan médical et les médecins consultés envisageaient même sérieusement l'opportunité de pratiquer, à moyen terme, une intervention chirurgicale à l'épaule gauche, lorsque s'est produit l'accident du 15 avril 1997 (cf. rapports des docteurs S.________ et B.________ respectivement des 28 octobre 1996 et 24 mars 1997). Cet accident a par ailleurs provoqué, comme l'ont constaté les premiers juges, une incapacité de travail d'une certaine durée. C'est en tout cas ce qui ressort des renseignements médicaux disponibles, en particulier du rapport du docteur B.________ du 25 juin 1998, selon lequel les lésions subies par l'assuré (importante contusion de l'épaule gauche ainsi qu'un probable étirement de la coiffe des rotateurs) entraînent ordinairement - c'est-à-dire abstraction faite de tout état pathologique préexistant - un arrêt de travail de six semaines à trois mois. En instance fédérale, l'intimée ne conteste d'ailleurs plus que l'accident du 15 avril 1997 a provoqué une période, si courte soit-elle, d'incapacité de travail. Dans ces conditions et contrairement à l'opinion des premiers juges, les circonstances du cas d'espèce réalisent pleinement l'hypothèse visée par l'art. 100 al. 2, 1ère phrase OLAA, à savoir que l'assuré a été victime d'un accident donnant droit à des indemnités journalières alors qu'il était encore en traitement pour un précédent accident et qu'il avait repris une activité lucrative soumise à l'assurance. Comme assureur tenu de répondre des conséquences du nouvel accident, la FRV doit dès lors également allouer les prestations dues pour le précédent accident du 25 juin 1994. d) Cette solution peut certes s'avérer rigoureuse dans certains cas, notamment lorsque, comme en l'espèce, le second accident assuré a des conséquences moins graves que le premier. Mais cela ne permet toutefois pas de conclure, comme le voudrait l'intimée, que le Conseil fédéral serait sorti du cadre légal en édictant l' art. 100 al. 2 OLAA . Car l' art. 77 al. 3 let. b OLAA délègue à l'autorité exécutive la compétence de légiférer, en cas d'accidents successifs, sur l'obligation d'allouer les prestations et sur la collaboration des assureurs, non pas seulement dans les cas spéciaux mentionnés dans la loi (perte d'un organe pair ou autres modifications du degré d'invalidité), mais à titre général ( ATF 120 V 72 sv. consid. 5b). A cela s'ajoute que le but visé par l' art. 77 al. 3 LAA n'est autre que d'éviter aux travailleurs qui sont dans une relation d'assurance avec différents assureurs d'avoir à présenter plusieurs fois une même prétention (FF 1976 III 143 sv.). L'art. 100 al. 2, 1ère phrase OLAA est donc en accord avec la volonté du législateur lorsqu'il prévoit que l'assureur tenu de verser des prestations pour un nouvel accident alloue aussi les prestations dues pour les suites d'un précédent accident. Peu importe à cet égard que le nouvel accident, survenu alors que l'assuré était encore en traitement pour le précédent accident, ait finalement eu des conséquences moins graves que ce dernier. Ce qui est décisif, selon le texte clair de la norme réglementaire en cause, c'est que le nouvel accident donne droit à des indemnités journalières (pour compar. ATF 125 V 328 consid. 3). Au demeurant, les assureurs intéressés peuvent, s'ils le jugent opportun, déroger à cette règle par convention (art. 100 al. 2, 3ème phrase), sous réserve de veiller à ce que l'assuré n'ait à traiter, conformément à la volonté du législateur, qu'avec un seul des assureurs en cause (Maurer, Schweizerisches Unfallversicherungsrecht, Berne 1985, p. 72).</w:t>
      </w:r>
    </w:p>
    <w:p>
      <w:r>
        <w:rPr>
          <w:b/>
        </w:rPr>
        <w:t>E. 3</w:t>
      </w:r>
    </w:p>
    <w:p>
      <w:r>
        <w:t>a) Il résulte de ce qui précède que le recours est bien fondé et que le jugement ainsi que la décision attaqués doivent être annulés, la cause étant renvoyée à l'intimée afin qu'elle se prononce sur les prestations revenant à l'assuré, aussi bien pour les conséquences du premier que pour celles du second des accidents assurés. b) Ceci fait, la FRV pourra demander à la Vaudoise le remboursement des prestations qui découlent de l'accident du 25 juin 1994 (art. 100 al. 2, 2ème phrase OLAA). En cas de désaccord entre les assureurs, il appartiendra à l'OFAS de trancher, conformément à la procédure prévue à l' art. 78a LAA , que les premiers juges ont méconnue. C'est en effet le lieu de rappeler qu'un assureur social, singulièrement un assureur-accidents, n'a pas de pouvoir de décision à l'égard d'un autre assureur de même rang ( ATF 120 V 491 consid. 1a). Certes l'intimée pouvait-elle se déclarer incompétente au moyen d'une décision, comme elle l'a fait le 3 août 1998, bien qu'elle eût normalement dû notifier celle-ci à l'assuré et non à la Vaudoise ( ATF 125 V 327 consid. 1b); cette informalité est toutefois sans conséquence puisque la Vaudoise pouvait faire opposition à cette décision puis, si nécessaire, déférer la décision sur opposition devant la juridiction cantonale. En revanche, les premiers juges ne pouvaient étendre l'objet de la contestation, déterminé par la décision sur opposition du 18 septembre 1998, à la question de la répartition du dommage entre les assureurs, car cela reviendrait à faire fi de la procédure prévue à l' art. 78a LAA . L'annulation du jugement entrepris se justifie pour ce motif également.</w:t>
      </w:r>
    </w:p>
    <w:p>
      <w:r>
        <w:rPr>
          <w:b/>
        </w:rPr>
        <w:t>E. 4</w:t>
      </w:r>
    </w:p>
    <w:p>
      <w:r>
        <w:t>S'agissant d'un litige entre assureurs, il y a lieu de faire exception à la règle de l' art. 134 OJ concernant la gratuité de la procédure ( ATF 120 V 494 consid. 3). L'intimée supportera donc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