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149/00 vom 21. September 2000</w:t>
      </w:r>
    </w:p>
    <w:p>
      <w:r>
        <w:t>Bundesgericht, 2000-09-21, FR</w:t>
      </w:r>
    </w:p>
    <w:p>
      <w:r>
        <w:rPr>
          <w:b/>
        </w:rPr>
        <w:t xml:space="preserve">Quelle: </w:t>
      </w:r>
      <w:r>
        <w:t>https://mcp.opencaselaw.ch/entscheid/bger_U_149_00</w:t>
      </w:r>
    </w:p>
    <w:p>
      <w:r>
        <w:t>FR: TF U 149/00 du 21 septembre 2000</w:t>
      </w:r>
    </w:p>
    <w:p>
      <w:r>
        <w:t>IT: TF U 149/00 del 21 settembre 2000</w:t>
      </w:r>
    </w:p>
    <w:p>
      <w:pPr>
        <w:pStyle w:val="Heading2"/>
      </w:pPr>
      <w:r>
        <w:t>Regeste</w:t>
      </w:r>
    </w:p>
    <w:p>
      <w:r>
        <w:t>Assurance-accidents</w:t>
      </w:r>
    </w:p>
    <w:p>
      <w:pPr>
        <w:pStyle w:val="Heading2"/>
      </w:pPr>
      <w:r>
        <w:t>Erwägungen</w:t>
      </w:r>
    </w:p>
    <w:p>
      <w:r>
        <w:rPr>
          <w:b/>
        </w:rPr>
        <w:t>E. 1</w:t>
      </w:r>
    </w:p>
    <w:p>
      <w:r>
        <w:t>Le jugement entrepris expose de manière exacte et complète les dispositions légales et la jurisprudence concernant les conditions du droit à la rente d'invalidité, l'évaluation de l'invalidité par comparaison des revenus, le rôle du médecin dans l'appréciation des effets d'une atteinte à la santé sur la capacité de travail d'un assuré, ainsi que la valeur probante de rapports médicaux. Il suffit donc d'y renvoyer.</w:t>
      </w:r>
    </w:p>
    <w:p>
      <w:r>
        <w:rPr>
          <w:b/>
        </w:rPr>
        <w:t>E. 2</w:t>
      </w:r>
    </w:p>
    <w:p>
      <w:r>
        <w:t>Bien que l'assuré ait obtenu une rente entière (du 1er décembre 1992 au 30 septembre 1995), et une demi-rente (du 1er janvier au 31 mars 1998, puis à partir du 1er août 1998) de l'assurance-invalidité, la juridiction cantonale s'est écartée de l'évaluation de l'invalidité effectuée par les organes de cette assurance, motif pris que l'évaluation en cause ne repose sur aucune argumentation médicale qui permettrait de s'écarter des avis de spécialistes requis par la Zurich. De son côté, le recourant fait valoir que l'assureuraccidents ne devait pas s'écarter de l'évaluation de l'office AI, laquelle était fondée sur une comparaison des revenus conforme à la loi et sur le fait que selon un rapport (du 5 septembre 1997) du docteur L.________, spécialiste en médecine interne, l'incapacité de travail était de 50 % à partir du 5 septembre 1997.</w:t>
      </w:r>
    </w:p>
    <w:p>
      <w:r>
        <w:rPr>
          <w:b/>
        </w:rPr>
        <w:t>E. 3</w:t>
      </w:r>
    </w:p>
    <w:p>
      <w:r>
        <w:t>Dans un arrêt récent, G. du 26 juillet 2000 (I 512/98), destiné à la publication, le Tribunal fédéral des assurances a précisé sa jurisprudence concernant la coordination de l'évaluation de l'invalidité dans les différentes branches de l'assurance sociale. Il a notamment confirmé le caractère uniforme de la notion d'invalidité dans ces différentes branches (cf. art. 22 du projet de Loi fédérale sur la partie générale du droit des assurances sociales [LPGA] du 27 septembre 1990),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 ATF 119 V 471 consid. 2b) ou encore lorsqu'elle résulte d'une simple transaction conclue avec l'assuré ( ATF 112 V 175 s. consid. 2a). A ces motifs de divergence déjà reconnus antérieurement par la jurisprudence, il faut ajouter des mesures d'instruction extrêmement limitées et superficielles, ainsi qu'une évaluation pas du tout convaincante ou entachée d'inobjectivité (arrêt G. du 26 juillet 2000, déjà cité). Dans l'arrêt ATF 119 V 468 ,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 ATF 119 V 474 consid. 4a).</w:t>
      </w:r>
    </w:p>
    <w:p>
      <w:r>
        <w:rPr>
          <w:b/>
        </w:rPr>
        <w:t>E. 4</w:t>
      </w:r>
    </w:p>
    <w:p>
      <w:r>
        <w:t>a) En l'espèce, l'office AI a fixé le taux d'invalidité du recourant à 50 % dès le 1er janvier 1998, compte tenu du fait qu'en raison de son état de santé, l'intéressé ne pouvait travailler qu'à 50 % dans une activité adaptée, comme le travail de montage fin pour lequel il avait reçu une formation au titre des mesures de réadaptation de l'assurance-invalidité. L'office AI s'est fondé pour cela sur un rapport du docteur L.________ (du 5 septembre 1997), selon lequel l'incapacité de travail du recourant était de 50 % à partir du 5 septembre 1997. Cette appréciation n'est toutefois nullement motivée et ne contient aucune indication sur le genre d'activité exigible. Cela étant, il est douteux que les mesures d'instruction mises en oeuvre par l'office AI soient suffisantes pour que l'on puisse s'en tenir, sans plus ample examen, à l'évaluation de l'invalidité effectuée par cet office. b) De son côté, la Zurich a nié le droit du recourant à une rente d'invalidité en se fondant essentiellement sur l'appréciation du docteur B.________, selon laquelle la capacité de travail de l'intéressé est entière dans un emploi sédentaire (rapport du 20 février 1995). Dès lors, l'intimée a considéré que le recourant est apte, en exerçant une activité exigible - comme celles de caissier ou de préposé au tri ou à l'emballage - de réaliser un gain au moins équivalent à celui qu'il obtenait dans sa profession de garçon d'office. En principe, il n'y a pas de raison de mettre en doute les conclusions du rapport du docteur B.________, lequel a été établi par un spécialiste reconnu, sur la base d'observations approfondies et d'investigations complètes, ainsi qu'en pleine connaissance du dossier (cf. ATF 122 V 161 consid. 1c). Cependant, ce rapport a été rédigé plus de quatre ans avant le prononcé de la décision sur opposition litigieuse et il est possible que la situation dont il fait état se soit modifiée dans l'intervalle. En effet, le docteur L.________ a constaté une aggravation des troubles de l'assuré au mois de septembre 1997. Or, les autres éléments ressortant du dossier ne permettent pas de savoir si cette aggravation est en relation avec les séquelles de l'accident, si elle perdurait au moment du prononcé de la décision litigieuse et encore si elle avait une influence sur la capacité de travail de l'assuré dans une activité sédentaire. Il convient donc de renvoyer le dossier à l'intimée pour qu'elle rende une nouvelle décision, après avoir procédé à un complément d'instruction.</w:t>
      </w:r>
    </w:p>
    <w:p>
      <w:r>
        <w:rPr>
          <w:b/>
        </w:rPr>
        <w:t>E. 5</w:t>
      </w:r>
    </w:p>
    <w:p>
      <w:r>
        <w:t>Le recourant, qui obtient gain de cause, est représenté par un avocat du service juridique de la Fédération suisse pour l'intégration des handicapés. Il a droit à une indemnité de dépens pour la procédure fédérale (art. 159 al. 1 en liaison avec l' art. 135 OJ ; arrêts non publiés P. du 15 mai 1997, I 124/96, et P. du 21 février 1997, I 94/96).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