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121/02 vom 4. September 2002</w:t>
      </w:r>
    </w:p>
    <w:p>
      <w:r>
        <w:t>Bundesgericht, 2002-09-04, FR</w:t>
      </w:r>
    </w:p>
    <w:p>
      <w:r>
        <w:rPr>
          <w:b/>
        </w:rPr>
        <w:t xml:space="preserve">Quelle: </w:t>
      </w:r>
      <w:r>
        <w:t>https://mcp.opencaselaw.ch/entscheid/bger_U_121_02</w:t>
      </w:r>
    </w:p>
    <w:p>
      <w:r>
        <w:t>FR: TF U 121/02 du 4 septembre 2002</w:t>
      </w:r>
    </w:p>
    <w:p>
      <w:r>
        <w:t>IT: TF U 121/02 del 4 settembre 2002</w:t>
      </w:r>
    </w:p>
    <w:p>
      <w:pPr>
        <w:pStyle w:val="Heading2"/>
      </w:pPr>
      <w:r>
        <w:t>Regeste</w:t>
      </w:r>
    </w:p>
    <w:p>
      <w:r>
        <w:t>Assurance-accidents</w:t>
      </w:r>
    </w:p>
    <w:p>
      <w:pPr>
        <w:pStyle w:val="Heading2"/>
      </w:pPr>
      <w:r>
        <w:t>Erwägungen</w:t>
      </w:r>
    </w:p>
    <w:p>
      <w:r>
        <w:rPr>
          <w:b/>
        </w:rPr>
        <w:t>E. 1.1</w:t>
      </w:r>
    </w:p>
    <w:p>
      <w:r>
        <w:t>Selon l' art. 18 LAA ,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w:t>
      </w:r>
    </w:p>
    <w:p>
      <w:r>
        <w:rPr>
          <w:b/>
        </w:rPr>
        <w:t>E. 1.2</w:t>
      </w:r>
    </w:p>
    <w:p>
      <w:r>
        <w:t>Aux termes de l' 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qui vise à empêcher l'allocation de rentes d'invalidité qui comporteraient, en fait, une composante de prestation de vieillesse, est conforme à la loi ( ATF 122 V 428 consid. 6, 113 V 135 consid. 4b). Selon la jurisprudence, la notion d'âge moyen au sens de cette norme se situe autour de 42 ans ou entre 40 et 45 ans; on considère que l'âge est avancé lorsque l'assuré est âgé d'environ 60 ans au moment où il a droit à la rente ( ATF 122 V 419 consid. 1b, 427 consid. 2; RAMA 1990 n° U 115 p. 392 consid. 4d et e). L'âge déterminant est celui au début de la rente et non l'âge au moment de l'accident ( ATF 122 V 419 consid. 1b, 427 consid. 2; RAMA 1998 n° U 296 p. 239 consid. 3a). En outre, la comparaison doit être établie avec une personne ayant les mêmes aptitudes professionnelles et personnelles que l'assuré ( ATF 114 V 315 consid. 4a).</w:t>
      </w:r>
    </w:p>
    <w:p>
      <w:r>
        <w:rPr>
          <w:b/>
        </w:rPr>
        <w:t>E. 1.3</w:t>
      </w:r>
    </w:p>
    <w:p>
      <w:r>
        <w:t>Selon l' art. 48 al. 1 LAA , l'assureur peut prendre les mesures qu'exige le traitement approprié de l'assuré en tenant compte équitablement des intérêts de celui-ci et de ses proches. Les prestations d'assurance sont totalement ou partiellement refusées si l'assuré, malgré une mise en demeure, se soustrait à un traitement ou à une mesure de réadaptation ordonnée par l'assurance-invalidité auxquels on peut raisonnablement exiger qu'il se prête et dont on peut attendre une amélioration notable de sa capacité de gain ( art. 48 al. 2 LAA ). D'après l' art. 61 al. 2 OLAA , si l'assuré refuse, sans motifs suffisants, de se soumettre à une mesure médicale ou de réadaptation raisonnablement exigible, il n'a droit qu'aux prestations qui auraient probablement dû être allouées si ladite mesure avait produit le résultat escompté. Les traitements qui ne sont pas exigibles ne se limitent pas à ceux qui représentent un danger pour la vie ou pour la santé de l'assuré (cf. art. 61 al. 3 OLAA ); ils incluent également les traitements qui provoquent des douleurs excessives ou ont un impact sur l'aspect physique de l'assuré trop important, notamment dans les cas d'opérations chirurgicales (cf. ATF 105 V 179 ; RAMA 1995 n° U 213 p. 69 consid. 2b). La question de l'exigibilité d'un traitement doit être examinée au regard des circonstances concrètes et en fonction de la personne concernée (Maurer, Schweizerisches Unfallversicherungsrecht, p. 300).</w:t>
      </w:r>
    </w:p>
    <w:p>
      <w:r>
        <w:rPr>
          <w:b/>
        </w:rPr>
        <w:t>E. 2</w:t>
      </w:r>
    </w:p>
    <w:p>
      <w:r>
        <w:t>Dans sa décision sur opposition du 23 août 2000, la Mobilière a nié le droit de G.________ à une rente d'invalidité, considérant qu'en raison des seules séquelles accidentelles dont elle avait à répondre, l'assurée était à même d'exercer une activité légère assise à un taux d'occupation de 75 %. En application de l' art. 28 al. 4 OLAA , elle a retenu qu'une assurée d'âge moyen dans cette situation pourrait réaliser un revenu comparable à celui obtenu par l'assurée sans atteinte à la santé, si bien qu'il n'en résultait aucun préjudice économique. De leur côté, les premiers juges ont considéré que la Mobilière avait omis, en 1995, d'exiger de son assurée qu'elle se soumette à une arthrodèse ou à la mise en place d'une prothèse totale de la cheville gauche, en la menaçant qu'à défaut d'y satisfaire son droit aux prestations serait examiné en tenant compte des résultats escomptés d'une telle intervention. Forts de cette prémisse, ils ont estimé que l'assureur avait lésé le droit de G.________ à un examen de son droit à la rente en 1995 - époque où celui-ci aurait été effectué sans référence au revenu réalisable par un assuré d'âge moyen. Assimilant cette irrégularité à une violation de l'assureur d'établir d'office les faits pertinents, laquelle ne pouvait être réparée, ils ont annulé la décision attaquée et renvoyé le dossier à la Mobilière afin qu'elle rende une nouvelle décision sur le droit à une rente d'invalidité en ne tenant pas compte du revenu que pourrait réaliser un assuré d'âge moyen, mais en procédant selon la méthode ordinaire de comparaison des revenus au sens de l' art. 18 al. 2 LAA . En outre, ils ont invité la Mobilière à se prononcer sur la question de l'obésité présentée par l'assurée en tant que suite éventuelle des accidents de 1988 et de 1993.</w:t>
      </w:r>
    </w:p>
    <w:p>
      <w:r>
        <w:rPr>
          <w:b/>
        </w:rPr>
        <w:t>E. 3</w:t>
      </w:r>
    </w:p>
    <w:p>
      <w:r>
        <w:t>Les premiers juges ne peuvent être suivis dans leur premier motif de renvoi. Il y a lieu de relever tout d'abord que l'âge limite, au-delà duquel l'examen des prétentions d'un assuré s'effectue en fonction des revenus qu'un assuré d'âge moyen réaliserait, se situe, selon la jurisprudence citée, aux environs de 60 ans; la limite d'âge permettant, le cas échéant, l'application de l' art. 28 al. 4 OLAA , n'est ainsi pas aussi rigide que l'instance cantonale l'a retenu. Le fait que l'intimée était âgée de 58 ans à la fin de l'année 1995 ne suffirait pas, à lui seul, sans tenir compte également des usages propres à la profession envisagée et d'autres circonstances du cas d'espèce, à exclure l'application de cette disposition. Par ailleurs, s'il est vrai que le docteur E.________ préconisait, à la fin du mois de novembre 1994 déjà, que l'intimée se soumette à une arthrodèse de la cheville gauche et qualifiait cette opération de standard, il n'en précisait pas moins que cette intervention bloquait l'articulation de manière définitive et que le pronostic n'était favorable que si la consolidation intervenait sans complication (rapport du 22 novembre 1994). En outre, il proposait que l'intimée, le médecin et la recourante trouvent une solution concertée (courrier à la Mobilière du 20 octobre 1994). De son côté, le docteur B.________ a rappelé à l'assureur le 1er mars 1995 qu'une arthrodèse représentait une importante diminution fonctionnelle et précisé que cette intervention n'était en aucun cas un geste anodin, la rééducation après une arthrodèse étant toujours extrêmement longue jusqu'à l'obtention d'une marche correcte et indolore; en outre, à ce moment, les suites du nettoyage articulaire subie par l'intimée le 22 novembre 1994 n'étaient pas encore stabilisées. Au vu de ces éléments, face à une femme de 57 ans, craignant une intervention, que l'on ne saurait taxer d'anodine, ainsi que la perte définitive de son emploi en cas d'absence prolongée, il apparaît pour le moins douteux que la Mobilière eût été en droit d'exiger de son assurée qu'elle se soumette à cette intervention avec menace des sanctions prévues à l' art. 61 al. 2 OLAA . Dans le cas d'espèce, l'examen de l'exigibilité d'une telle intervention n'a pas besoin d'être plus approfondi, il suffit de constater qu'il ne peut en aucun cas être reproché à la recourante, de ne pas avoir exigé une telle intervention en 1995 ou 1996. Au demeurant, à supposer que la recourante eût été en droit d'exiger que l'intimée se soumît à un certain moment à un traitement approprié - susceptible d'augmenter sa capacité de gain - auquel elle se serait refusée, encore faudrait-il, pour qu'une omission puisse être reprochée à la recourante, qu'elle s'en fût abstenue à dessein, afin de pouvoir statuer sur le droit aux prestations de l'intimée à un moment qui fût préjudiciable aux intérêts de celle-ci, soit en raison d'une négligence qui fasse apparaître l'application de l' art. 28 al. 4 OLAA dans la détermination des prestations dues à l'intimée constitutive d'abus de droit. On ne voit pas en effet, hormis ces hypothèses, que le fait que l'assureur s'abstienne d'exiger de son assuré, au sens de l' art. 61 al. 2 OLAA , qu'il se soumette à un traitement auquel il se refuserait, puisse réellement léser les droits de cet assuré. En l'espèce, l'examen du dossier ne laisse apparaître ni une telle manoeuvre, ni une négligence, de sorte que l'on ne saurait retenir une omission fautive de la recourante.</w:t>
      </w:r>
    </w:p>
    <w:p>
      <w:r>
        <w:rPr>
          <w:b/>
        </w:rPr>
        <w:t>E. 4</w:t>
      </w:r>
    </w:p>
    <w:p>
      <w:r>
        <w:t>Les juges cantonaux ne peuvent pas non plus être suivis dans leur second motif de renvoi. D'une part, tant dans sa décision du 25 novembre 1999, que dans sa décision sur opposition du 23 août 2000 et en procédure cantonale, la recourante a clairement exprimé qu'elle n'entendait pas répondre de l'obésité présentée par l'intimée en raison de l'absence de lien de causalité avec l'un ou l'autre des accidents subis par l'assurée. Si les premiers juges entendaient reprocher à la recourante un vice de nature formelle, leur grief n'est ainsi pas fondé. D'autre part, à l'examen des différentes pièces médicales au dossier depuis 1988, l'autorité cantonale disposait de suffisamment d'éléments, rapports et expertises, pour examiner et trancher la question de la prise en compte de l'obésité dans les prétentions de l'intimée, au regard des griefs soulevés.</w:t>
      </w:r>
    </w:p>
    <w:p>
      <w:r>
        <w:rPr>
          <w:b/>
        </w:rPr>
        <w:t>E. 5</w:t>
      </w:r>
    </w:p>
    <w:p>
      <w:r>
        <w:t>Il n'appartient cependant pas à la Cour de céans de se prononcer directement sur le sort des prétentions de l'intimée, son intérêt à exercer dans la plus large mesure possible son droit d'être entendue dans les divers degrés d'instance l'emportant sur celui à une prompte décision. Dès lors, il convient d'annuler le jugement attaqué et de renvoyer la cause à l'instance inférieure pour qu'elle examine concrètement le bien-fondé de la décision sur opposition qui avait été portée devant elle.</w:t>
      </w:r>
    </w:p>
    <w:p>
      <w:r>
        <w:rPr>
          <w:b/>
        </w:rPr>
        <w:t>E. 6</w:t>
      </w:r>
    </w:p>
    <w:p>
      <w:r>
        <w:t>L'intimée, qui obtient partiellement gain de cause, est représentée par un avocat. Elle a droit à une indemnité de dépens réduite pour la procédure fédérale ( art. 159 al. 1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