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U_113/2006 vom 8. Mai 2006</w:t>
      </w:r>
    </w:p>
    <w:p>
      <w:r>
        <w:t>Bundesgericht, 2006-05-08, DE</w:t>
      </w:r>
    </w:p>
    <w:p>
      <w:r>
        <w:rPr>
          <w:b/>
        </w:rPr>
        <w:t xml:space="preserve">Quelle: </w:t>
      </w:r>
      <w:r>
        <w:t>https://mcp.opencaselaw.ch/entscheid/bger_U_113_2006</w:t>
      </w:r>
    </w:p>
    <w:p>
      <w:r>
        <w:t>FR: TF U_113/2006 du 8 mai 2006</w:t>
      </w:r>
    </w:p>
    <w:p>
      <w:r>
        <w:t>IT: TF U_113/2006 del 8 maggio 2006</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Es steht fest und ist unbestritten, dass die vom Versicherten am 10. Mai 2005 eingereichte Beschwerde nach Massgabe des hier anwendbaren kantonalen Verfahrensrechts verspätet war. Streitig und zu prüfen ist, ob die Vorinstanz zu Recht auf die Beschwerde eingetreten ist, weil sie die Voraussetzungen des Vertrauensschutzes als erfüllt erachtet hat.</w:t>
      </w:r>
    </w:p>
    <w:p>
      <w:r>
        <w:rPr>
          <w:b/>
        </w:rPr>
        <w:t>E. 3</w:t>
      </w:r>
    </w:p>
    <w:p>
      <w:r>
        <w:t>wenn die Person die Unrichtigkeit der Auskunft nicht ohne weiteres erkennen konnte;</w:t>
      </w:r>
    </w:p>
    <w:p>
      <w:r>
        <w:rPr>
          <w:b/>
        </w:rPr>
        <w:t>E. 4</w:t>
      </w:r>
    </w:p>
    <w:p>
      <w:r>
        <w:t>wenn sie im Vertrauen auf die Richtigkeit der Auskunft Dis- positionen getroffen hat, die nicht ohne Nachteil rückgängig ge- macht werden können;</w:t>
      </w:r>
    </w:p>
    <w:p>
      <w:r>
        <w:rPr>
          <w:b/>
        </w:rPr>
        <w:t>E. 4.1</w:t>
      </w:r>
    </w:p>
    <w:p>
      <w:r>
        <w:t>Der Vertrauensschutz gilt auch und erst recht, wenn eine richterliche Behörde eine unrichtige Auskunft erteilt. Eine solche falsche Auskunft ist im Schreiben des Versicherungsgerichts des Kantons Aargau vom 22. Oktober 2003 an den Aargauischen Anwaltsverband zu erblicken. Darin wies die Vorinstanz unter dem Titel Fristenstillstand im Versicherungsgerichtsverfahren darauf hin, dass es beschlossen habe, die Fristen gemäss Art. 60 in Verbindung mit Art. 38-41 ATSG (ausser in BVG-Verfahren) in allen Verfahren, insbesondere auch in UVG-Verfahren, anzuwenden. Die in § 89 der Aargauischen Zivilprozessordnung enthaltene Regelung der Friststillstände werde nicht mehr beachtet. Demgegenüber stünden die dreimonatigen Fristen nach Art. 106 UVG und 104 MVG aufgrund von Art. 38 Abs. 4 ATSG still. Die Übergangsbestimmung von Art. 82 Abs. 2 ATSG spiele in diesem Zusammenhang keine Rolle.</w:t>
      </w:r>
    </w:p>
    <w:p>
      <w:r>
        <w:t>Das Eidgenössische Versicherungsgericht entschied in BGE 131 V 314 und 325 gegenteilig, wobei diese Grundsatzentscheide erst am 26. August 2005 ergingen. Das zitierte Schreiben charakterisiert sich als von Amtes wegen erteilte Auskunft über die Praxis, welche das kantonale Versicherungsgericht unter der Herrschaft des ATSG bei Fristberechnungen (unter Beachtung des Fristenstillstandes im Gegensatz zum bisherigen Recht) eingeschlagen hatte.</w:t>
      </w:r>
    </w:p>
    <w:p>
      <w:r>
        <w:rPr>
          <w:b/>
        </w:rPr>
        <w:t>E. 4.2.1</w:t>
      </w:r>
    </w:p>
    <w:p>
      <w:r>
        <w:t>Die SUVA bestreitet insbesondere, dass die erste Voraussetzung des Vertrauensschutzes erfüllt sei, indem sie geltend macht, die Vorinstanz habe nicht in einer konkreten Situation und mit Bezug auf bestimmte Personen gehandelt. Diese Auffassung überzeugt nicht. Wie der Beschwerdegegner zu Recht einwendet, bezieht sich zwar das Schreiben vom 22. Oktober 2003 nicht auf eine bestimmte Person, geht aber doch von einer sehr konkreten prozessualen Situation aus und legt klar fest, wie das kantonale Gericht künftig den Fristenstillstand handhaben wird. Darauf darf der Bürger, auch der Rechtsanwalt, vertrauen. Das Schreiben war nicht an eine Einzelperson, sondern einen Verband adressiert und damit an einen ganz spezifischen und konkreten Adressatenkreis gerichtet.</w:t>
      </w:r>
    </w:p>
    <w:p>
      <w:r>
        <w:rPr>
          <w:b/>
        </w:rPr>
        <w:t>E. 4.2.2</w:t>
      </w:r>
    </w:p>
    <w:p>
      <w:r>
        <w:t>Angesichts der Rechtsfragen, welche die Anwendung des Fristenstillstandes aufgeworfen hat und die in drei Grundsatzurteilen ( BGE 131 V 305 , 314 und 325) beantwortet wurden, lässt sich nicht sagen, dass die Unrichtigkeit des Inhaltes des Schreibens ohne weiteres erkennbar war.</w:t>
      </w:r>
    </w:p>
    <w:p>
      <w:r>
        <w:rPr>
          <w:b/>
        </w:rPr>
        <w:t>E. 4.2.3</w:t>
      </w:r>
    </w:p>
    <w:p>
      <w:r>
        <w:t>Das Schreiben des kantonalen Gerichts ist keine Rechtsmittelbelehrung, wozu es hinsichtlich Einspracheentscheiden gar nicht zuständig ist. Es ist jedoch eine die Einhaltung der Rechtsmittelfristen beschlagende Rechtsbelehrung, für welche die Grundsätze, die bei unrichtiger Rechtsmittelbelehrung gelten, analogieweise herangezogen werden können. Aus unrichtiger Rechtsmittelbelehrung dürfen den Parteien keine Nachteile erwachsen ( Art. 107 Abs. 3 OG ). Voraussetzung für die Anwendbarkeit dieser Bestimmung, welcher die Rechtsprechung allgemeine Bedeutung für die ganze Rechtsordnung beimisst ( BGE 117 Ia 298 Erw. 2, 423 Erw. 2c; vgl. auch BGE 124 I 258 Erw. 1a/aa), ist, dass sich eine Prozesspartei nach Treu und Glauben auf eine fehlerhafte Rechtsmittelbelehrung verlassen durfte ( BGE 112 Ia 310 , 106 Ia 16 f. mit Hinweisen). Wer hingegen die Fehlerhaftigkeit einer Rechtsmittelbelehrung erkennt oder bei gebührender Aufmerksamkeit hätte erkennen müssen, kann sich nicht auf die darin enthaltenen unzutreffenden Angaben berufen ( BGE 124 I 258 Erw. 1a/aa, 119 IV 330). Allerdings sind nur grobe Fehler einer Partei geeignet, eine falsche Rechtsmittelbelehrung aufzuwiegen ( BGE 106 Ia 17 Erw. 3b). So geniesst eine Partei keinen Vertrauensschutz, wenn sie oder ihr Anwalt die Mängel der Rechtsmittelbelehrung durch Konsultierung des massgebenden Gesetzestextes allein erkennen konnte ( BGE 118 Ib 330 Erw. 1c); andererseits wird in diesem Zusammenhang auch von einem Anwalt nicht verlangt, dass er neben dem Gesetzestext Literatur oder Rechtsprechung nachschlage ( BGE 117 Ia 422 Erw. 2a; vgl. zur falschen Auskunft einer Gemeinde Urteil des Bundesgerichts in Sachen A. vom 6. März 2001, 1P.674/2000).</w:t>
      </w:r>
    </w:p>
    <w:p>
      <w:r>
        <w:rPr>
          <w:b/>
        </w:rPr>
        <w:t>E. 4.3</w:t>
      </w:r>
    </w:p>
    <w:p>
      <w:r>
        <w:t>Nach diesen Grundsätzen durfte sich der Anwalt auf die Richtigkeit des Schreibens, das die zuständige Rechtsmittelinstanz versandt hatte, verlassen. Nicht nur das Gericht selber, sondern auch die Gegenpartei hat dieses gegen sich gelten zu lassen. Die Vorinstanz ist demnach zu Recht auf die Beschwerde eingetreten.</w:t>
      </w:r>
    </w:p>
    <w:p>
      <w:r>
        <w:rPr>
          <w:b/>
        </w:rPr>
        <w:t>E. 5</w:t>
      </w:r>
    </w:p>
    <w:p>
      <w:r>
        <w:t>In materieller Hinsicht bringt die SUVA keine Einwendungen gegen den angefochtenen Entscheid vor. Es sind denn auch keine Gründe ersichtlich, die gegen die vorinstanzlich angeordnete Rückweisung der Sache an die SUVA zur Einholung eines psychiatrischen Gutachtens und zu neuer Verfügung sprechen würden.</w:t>
      </w:r>
    </w:p>
    <w:p>
      <w:r>
        <w:rPr>
          <w:b/>
        </w:rPr>
        <w:t>E. 6</w:t>
      </w:r>
    </w:p>
    <w:p>
      <w:r>
        <w:t>Dem Prozessausgang entsprechend sind die Gerichtskosten der SUVA aufzuerlegen (Art. 135 in Verbindung mit Art. 156 Abs. 1 OG ). Diese hat dem Beschwerdegegner sodann eine Parteientschädigung zu bezahlen (Art. 135 in Verbindung mit Art. 159 Abs. 1 OG ), womit das Gesuch um unentgeltliche Verbeiständung gegenstandslos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