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9/99 vom 2. März 2000</w:t>
      </w:r>
    </w:p>
    <w:p>
      <w:r>
        <w:t>Bundesgericht, 2000-03-02, DE</w:t>
      </w:r>
    </w:p>
    <w:p>
      <w:r>
        <w:rPr>
          <w:b/>
        </w:rPr>
        <w:t xml:space="preserve">Quelle: </w:t>
      </w:r>
      <w:r>
        <w:t>https://mcp.opencaselaw.ch/entscheid/bger_P_9_99</w:t>
      </w:r>
    </w:p>
    <w:p>
      <w:r>
        <w:t>FR: TF P 9/99 du 2 mars 2000</w:t>
      </w:r>
    </w:p>
    <w:p>
      <w:r>
        <w:t>IT: TF P 9/99 del 2 marzo 2000</w:t>
      </w:r>
    </w:p>
    <w:p>
      <w:pPr>
        <w:pStyle w:val="Heading2"/>
      </w:pPr>
      <w:r>
        <w:t>Regeste</w:t>
      </w:r>
    </w:p>
    <w:p>
      <w:r>
        <w:t>Ergänzungsleistung</w:t>
      </w:r>
    </w:p>
    <w:p>
      <w:pPr>
        <w:pStyle w:val="Heading2"/>
      </w:pPr>
      <w:r>
        <w:t>Erwägungen</w:t>
      </w:r>
    </w:p>
    <w:p>
      <w:r>
        <w:rPr>
          <w:b/>
        </w:rPr>
        <w:t>E. 1</w:t>
      </w:r>
    </w:p>
    <w:p>
      <w:r>
        <w:t>a) Gemäss Art. 27 Abs. 1 der Verordnung über die Ergänzungsleistungen zur Alters-, Hinterlassenen- und Inva- lidenversicherung vom 15. Januar 1971 (ELV) sind unrecht- mässig bezogene Ergänzungsleistungen vom Bezüger oder sei- nen Erben zurückzuerstatten. Für die Rückerstattung solcher Leistungen sind sinngemäss die Vorschriften des AHVG an- wendbar. Art. 47 Abs. 2 AHVG hält fest, dass der Rück- forderungsanspruch mit dem Ablauf eines Jahres verjährt, nachdem die Ausgleichskasse (vorliegend: das Amt) davon Kenntnis erhalten hat, spätestens aber mit dem Ablauf von fünf Jahren seit der einzelnen Rentenzahlung (hier: Er- gänzungsleistungs-Zahlung). Nach der Rechtsprechung handelt es sich hierbei, entgegen dem Wortlaut der Bestimmung, nicht um eine Verjährungs-, sondern um eine Verwirkungs- frist ( BGE 111 V 135 ). Die absolute Verjährungsfrist des Art. 47 Abs. 2 AHVG von fünf Jahren beginnt mit dem Zeit- punkt zu laufen, an welchem die Leistung effektiv erbracht worden ist ( BGE 111 V 17 Erw. 3 mit Hinweis). b) Im vorliegenden Fall wurden die Ergänzungsleis- tungen seit dem 1. Oktober 1990 erbracht. Folglich war die absolute fünfjährige Verjährungsfrist noch nicht abgelau- fen, als das Amt mit Entscheid vom 3. Februar 1995 bzw. vom</w:t>
      </w:r>
    </w:p>
    <w:p>
      <w:r>
        <w:rPr>
          <w:b/>
        </w:rPr>
        <w:t>E. 3</w:t>
      </w:r>
    </w:p>
    <w:p>
      <w:r>
        <w:t>a) Das kantonale Gericht hat die Frage nach der Gutgläubigkeit der Beschwerdeführerin im Sinne eines feh- lenden Unrechtsbewusstseins bezüglich der Entgegennahme der Hilflosenentschädigung für die Mutter nicht ausdrücklich beantwortet. Die Frage kann, wie sich aus dem Folgenden ergibt, offen bleiben. b) Die zweite Erlassvoraussetzung, die grosse Härte im Sinne von Art. 47 Abs. 1 AHVG , liegt nach der Rechtspre- chung ( BGE 122 V 225 Erw. 5 und 6) vor, wenn zwei Drittel des anrechenbaren Einkommens (und der allenfalls hinzuzu- rechnende Vermögensanteil) die nach Art. 42 Abs. 1 AHVG anwendbare und um 50 % erhöhte Einkommensgrenze nicht er- reichen. Für die Ermittlung des anrechenbaren Einkommens gelten die Regeln der Art. 56 ff. AHVV . Massgebend sind die wirtschaftlichen Verhältnisse, wie sie im Zeitpunkt vor- liegen, da der Rückleistungspflichtige bezahlen sollte (BGE 116 V 12 Erw. 2a, 116 V 293 Erw. 2c) Der Anwendungsbereich des Erlasses einer Rückforderung hat durch die Rechtsprechung indessen Einschränkungen er- fahren, insbesondere dort, wo der Verwaltung die Möglich- keit der Verrechnung zusteht. Gerade im Zusammenhang mit Art. 27 Abs. 2 ELV , wonach Rückforderungen von Ergänzungs- leistungen mit fälligen Leistungen aufgrund des ELG sowie des AHVG und des IVG verrechnet werden können, hat das Eidgenössische Versicherungsgericht erkannt, dass bei die- ser Verrechnung ein Erlass nur in Betracht fällt, wenn sie mit laufenden oder künftig fällig werdenden Leistungen er- folgt. Anderes gilt jedoch, wenn es darum geht, dem Ver- sicherten bereits ausbezahlte Leistungen durch gleich hohe, unter anderem Titel geschuldete zu ersetzen und die beiden Betreffnisse miteinander zu verrechnen. Hier besteht ledig- lich ein anderer Rechtsgrund für die geschuldeten Leistun- gen; das Vermögen des Rückerstattungspflichtigen erfährt keine Veränderung, die zu einem Härtefall im Sinne von Art. 47 Abs. 1 AHVG führen könnte, weshalb die Frage des Erlasses nicht zu prüfen ist. Wie das Eidgenössische Ver- sicherungsgericht später entschieden hat, handelt es sich dabei um einen allgemeinen Grundsatz des Sozialversiche- rungsrechts, der stets angewendet werden muss, wenn der Erlass einer verrechnungsweise geltend gemachten Rückforde- rung zu prüfen ist ( BGE 122 V 226 Erw. 5c mit Hinweisen). Damit kann der an sich glaubhafte Einwand der Be- schwerdeführerin nicht gehört werden, sie sei heute nicht bereichert, weil sie alle ihr zugeflossenen Ergänzungs- leistungen und Hilflosenentschädigungen vollständig für die Pflege ihrer Mutter verbraucht habe. Die Erlassvorausset- zung der grossen Härte ist demnach nicht erfüllt, was zur Abweisung der Verwaltungsgerichtsbeschwerde führt.</w:t>
      </w:r>
    </w:p>
    <w:p>
      <w:r>
        <w:rPr>
          <w:b/>
        </w:rPr>
        <w:t>E. 4</w:t>
      </w:r>
    </w:p>
    <w:p>
      <w:r>
        <w:t>Dem Gesuch der Beschwerdeführerin um Gewährung der unentgeltlichen Verbeiständung ( Art. 152 OG ) ist stattzu- geben. Die Bedürftigkeit ist aktenkundig, die Verwaltungs- gerichtsbeschwerde nicht aussichtslos und die Vertretung durch einen Rechtsanwalt geboten (Art. 124 V 309 Erw. 6). Die Beschwerdeführerin wird indessen darauf hingewiesen, dass sie gemäss Art. 153 Abs. 3 OG der Gerichtskasse Ersatz zu leisten haben wird, wenn sie später dazu im Stande ist. Demnach erkennt das Eidg. Versicherungsgericht: I.Die Verwaltungsgerichtsbeschwerde wird abgewiesen. II.Es werden keine Gerichtskosten erhoben. III.Zufolge Gewährung der unentgeltlichen Verbeiständung wird Rechtsanwalt Markus Peyer für das Verfahren vor dem Eidgenössischen Versicherungsgericht aus der Ge- richtskasse eine Entschädigung (einschliesslich Mehr- wertsteuer) von Fr. 2500.-- ausgerichtet. IV.Dieses Urteil wird den Parteien, dem Sozialversiche- rungsgericht des Kantons Zürich und dem Bundesamt für Sozialversicherung zugestellt. Luzern, 2. März 2000 Im Namen des Eidgenössischen Versicherungsgerichts Der Vorsitzende  Der Gerichts- der II.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