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P_68/2000 vom 10. Mai 2001</w:t>
      </w:r>
    </w:p>
    <w:p>
      <w:r>
        <w:t>Bundesgericht, 2001-05-10, DE</w:t>
      </w:r>
    </w:p>
    <w:p>
      <w:r>
        <w:rPr>
          <w:b/>
        </w:rPr>
        <w:t xml:space="preserve">Quelle: </w:t>
      </w:r>
      <w:r>
        <w:t>https://mcp.opencaselaw.ch/entscheid/bger_P_68_2000</w:t>
      </w:r>
    </w:p>
    <w:p>
      <w:r>
        <w:t>FR: TF P_68/2000 du 10 mai 2001</w:t>
      </w:r>
    </w:p>
    <w:p>
      <w:r>
        <w:t>IT: TF P_68/2000 del 10 maggio 2001</w:t>
      </w:r>
    </w:p>
    <w:p>
      <w:pPr>
        <w:pStyle w:val="Heading2"/>
      </w:pPr>
      <w:r>
        <w:t>Erwägungen</w:t>
      </w:r>
    </w:p>
    <w:p>
      <w:r>
        <w:rPr>
          <w:b/>
        </w:rPr>
        <w:t>E. 1</w:t>
      </w:r>
    </w:p>
    <w:p>
      <w:r>
        <w:t>a) Laut Art. 27 Abs. 1 (Satz 1) ELV sind unrechtmässig bezogene Ergänzungsleistungen vom Bezüger oder seinen Erben zurückzuerstatten.</w:t>
      </w:r>
    </w:p>
    <w:p>
      <w:r>
        <w:t>Zu beachten ist, dass die Rückforderung von zu Unrecht bezogenen Geldleistungen in der Sozialversicherung nur unter den für die Wiedererwägung oder die prozessuale Revision formell rechtskräftiger Verfügungen massgebenden Voraussetzungen zulässig ist ( BGE 122 V 21 Erw. 3a).</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sogenannte prozessuale Revision von Verwaltungsverfügungen zu unterscheiden. Danach ist die Verwaltung verpflichtet, auf eine formell rechtskräftige Verfügung zurückzukommen, wenn neue Tatsachen oder Beweismittel entdeckt werden, die geeignet sind, zu einer andern rechtlichen Beurteilung zu führen (122 V 21 Erw. 3a).</w:t>
      </w:r>
    </w:p>
    <w:p>
      <w:r>
        <w:t>b) Nach Art. 25 Abs. 1 lit. c ELV in der ab 1. Januar 1998 geltenden Fassung ist die jährliche Ergänzungsleistung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vorhandene Vermögen; macht die Änderung weniger als 120 Franken im Jahr aus, so kann auf eine Anpassung verzichtet werden. " Nach der alten Fassung von Art. 25 Abs. 1 lit. c aELV war die Ergänzungsleistung zu erhöhen, herabzusetzen oder aufzuheben "bei Eintritt einer voraussichtlich längere Zeit dauernden Verminderung oder Erhöhung des anrechenbaren Einkommens.</w:t>
      </w:r>
    </w:p>
    <w:p>
      <w:r>
        <w:t>Massgebend sind das neue, auf ein Jahr umgerechnete dauernde Einkommen und das bei Eintritt der Veränderung vorhandene Vermögen. Macht die Änderung weniger als 120 Franken im Jahr aus, so kann auf eine Anpassung verzichtet werden.. "</w:t>
      </w:r>
    </w:p>
    <w:p>
      <w:r>
        <w:t>Mit der terminologischen Neufassung, die mit der dritten Revision des Bundesgesetzes über Ergänzungsleistungen zur AHV und IV am 1. Januar 1998 in Kraft getreten ist, wollte der Gesetzgeber unter anderem die in der Praxis bereits angewandte Berechnungsart (anerkannte Ausgaben minus anrechenbare Einnahmen) für alle EL-Berechtigten gesetzlich verankern (Botschaft über die 3. Revision des Bundesgesetzes über Ergänzungsleistungen zur AHV und IV vom 20. November 1996, in: BBl 1997 I 1204). Die mit der 3. EL-Revision vorgenommene Neustrukturierung des ELG und die damit vorgeschlagene Berechnungsart "Ausgaben minus Einnahmen" (mit entsprechenden Anpassungen der ELV) sollen sowohl für Personen, die nicht im Heim leben, wie auch für Personen, die im Heim leben, für eine leichtere Verständlichkeit sorgen. Es handelt sich um eine andere Art der Darstellung, die zum selben Resultat wie bisher führt (Botschaft, a.a.O., S. 1210).</w:t>
      </w:r>
    </w:p>
    <w:p>
      <w:r>
        <w:t>Die Ergänzungsleistung ist neu zu verfügen: bei Erhöhung des Ausgabenüberschusses (bzw. "bei Verminderung des anrechenbaren Einkommens" nach Art. 25 Abs. 2 lit. b aELV) auf den Beginn des Monats, in dem die Änderung gemeldet wurde, frühestens aber des Monats, in dem diese eingetreten ist ( Art. 25 Abs. 2 lit. b ELV ); bei Verminderung des Ausgabenüberschusses (bzw. "bei Erhöhung des anrechenbaren Einkommens" nach Art. 25 Abs. 2 lit. c aELV), spätestens auf den Beginn des Monats, der auf die neue Verfügung folgt ( Art. 25 Abs. 2 lit. c ELV ). Vorbehalten bleibt Artikel 27 bei Verletzung der Meldepflicht (vgl. Art. 25 Abs. 2 lit. c ELV ; ebenso in der alten Fassung).</w:t>
      </w:r>
    </w:p>
    <w:p>
      <w:r>
        <w:t>Art. 25 ELV hat die Revision der Ergänzungsleistung im Sinne der Anpassung an geänderte tatsächliche Verhältnisse zum Gegenstand, regelt also Veränderungen in den persönlichen und wirtschaftlichen Verhältnissen des EL-Bezügers während des Leistungsbezuges ( BGE 119 V 193 unten; vgl. Meyer-Blaser, Die Abänderung formell rechtskräftiger Verwaltungsverfügungen in der Sozialversicherung, in: ZBl 95 [1994] S. 337 ff., S. 349).</w:t>
      </w:r>
    </w:p>
    <w:p>
      <w:r>
        <w:t>Gemäss der in Art. 24 Satz 1 ELV statuierten Meldepflicht hat die Anspruchsberechtigte, ihre gesetzliche Vertreterin oder gegebenenfalls die Drittperson oder die Behörde, welcher eine Ergänzungsleistung ausbezahlt wird, der kantonalen Durchführungsstelle von jeder Änderung der persönlichen und von jeder ins Gewicht fallenden Änderung der wirtschaftlichen Verhältnisse unverzüglich Mitteilung zu machen.</w:t>
      </w:r>
    </w:p>
    <w:p>
      <w:r>
        <w:t>c) Bei der Prüfung der Frage, wie der Rückforderungsbetrag zu berechnen sei, ist davon auszugehen, dass die Ergänzungsleistungen eine angemessene Deckung des Existenzbedarfs bedürftiger Rentner der Alters- und Hinterlas- senen- sowie der Invalidenversicherung bezwecken (vgl.</w:t>
      </w:r>
    </w:p>
    <w:p>
      <w:r>
        <w:t>Art. 112 Abs. 2 lit. b BV in Verbindung mit Art. 196 Ziff. 10 BV ; Art. 34quater Abs. 2 aBV in Verbindung mit Art. 11 Abs. 1 ÜbBest. aBV ; BGE 108 V 241 Erw. 4c).</w:t>
      </w:r>
    </w:p>
    <w:p>
      <w:r>
        <w:t>Grundsätzlich sind bei der Anspruchsberechtigung nur tatsächlich vereinnahmte Einkünfte und vorhandene Vermögenswerte zu berücksichtigen, über die der Leistungsansprecher ungeschmälert verfügen kann ( BGE 115 V 353 Erw. 5c mit Hinweisen; AHI 1994 S. 216 Erw. 3a). Dieser Grundsatz gilt auch bei der in Art. 25 ELV positivrechtlich normierten Anpassung (Erhöhung, Herabsetzung, Aufhebung) der Ergänzungsleistung an geänderte tatsächliche Verhältnisse. Dies bedeutet insbesondere, dass der EL-Neuberechnung der im Rahmen des Untersuchungsgrundsatzes und der dem EL-Bezüger obliegenden Mitwirkungspflicht ( BGE 119 V 211 Erw. 3b mit Hinweisen) festgestellte Sachverhalt zugrunde zu legen ist.</w:t>
      </w:r>
    </w:p>
    <w:p>
      <w:r>
        <w:t>Die gleichen Überlegungen gelten auch bei der Neuberechnung der Ergänzungsleistung im Hinblick auf eine Rückforderung von zuviel bezogenen Ergänzungsleistungen nach Art. 27 Abs. 1 ELV ( BGE 122 V 24 Erw. 5b).</w:t>
      </w:r>
    </w:p>
    <w:p>
      <w:r>
        <w:t>d) Im vorliegenden Fall ist zu Recht unbestritten, dass sowohl die Hilflosenentschädigung ab September 1996 ( Art. 15b ELV in der seit 1. Januar 1998 geltenden Fassung, vorher Art. 1a Abs. 5 aELV) als auch die Taggeldleistungen der Krankenkasse Helsana (Fr. 20.- pro Tag ab Oktober 1996) aus der Langzeitpflegeversicherung ( BGE 123 V 184 ) als Einnahmen anzurechnen sind. Damit steht fest, dass die ursprüngliche Berechnung des Anspruchs auf Ergänzungsleistungen wegen der aufgrund einer Meldepflichtverletzung bisher unbekannt gewesenen Einkommensbestandteile von der Verwaltung zu Recht im Rahmen einer prozessualen Revision korrigiert wurde.</w:t>
      </w:r>
    </w:p>
    <w:p>
      <w:r>
        <w:rPr>
          <w:b/>
        </w:rPr>
        <w:t>E. 2</w:t>
      </w:r>
    </w:p>
    <w:p>
      <w:r>
        <w:t>Streitig ist im vorliegenden Verfahren einzig die Höhe der Rückforderung. Mindestens in Bezug auf den Teilbetrag von Fr. 25'973. 40, eventuell sogar Fr. 38'564.-, der gesamten Rückforderungssumme anerkennt die Beschwerdeführerin ihre Rückerstattungspflicht gemäss Verwaltungsverfügung.</w:t>
      </w:r>
    </w:p>
    <w:p>
      <w:r>
        <w:t>Zu prüfen bleibt demnach, ob auch die restlichen Fr. 15'446. 60, eventuell Fr. 2856.-, der Rückerstattungsforderung von Fr. 41'420.- zurückzubezahlen sind.</w:t>
      </w:r>
    </w:p>
    <w:p>
      <w:r>
        <w:t>a) Die Beschwerdeführerin begründet ihren Hauptantrag rechnerisch damit, vom Vermögen am Todestag von Fr. 63'785.- seien verschiedene Forderungen zulasten der Erbschaft im Gesamtbetrag von Fr. 12'811. 60 in Abzug zu bringen. Vom Restsaldo von Fr. 50'973. 40 müsse sodann der Vermögensfreibetrag von Fr. 25'000.- abgezogen werden, sodass ein verfügbarer Betrag von bloss noch Fr. 25'973. 40 (anstatt der geltend gemachten Rückforderung von Fr. 41'420.-) resultiere, der zurückzuerstatten sei. Begründet wird diese Auffassung damit, der Freibetrag von Fr. 25'000.- müsse bei der Berechnung der Rückforderungssumme mit berücksichtigt werden. Die Erbin sei in Bezug auf diesen Freibetrag nicht schlechter zu stellen als die Erblasserin selber.</w:t>
      </w:r>
    </w:p>
    <w:p>
      <w:r>
        <w:t>aa) Nach Art. 3c Abs. 1 lit. c Satz 1 ELG in der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