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68/00 vom 10. Mai 2001</w:t>
      </w:r>
    </w:p>
    <w:p>
      <w:r>
        <w:t>Bundesgericht, 2001-05-10, DE</w:t>
      </w:r>
    </w:p>
    <w:p>
      <w:r>
        <w:rPr>
          <w:b/>
        </w:rPr>
        <w:t xml:space="preserve">Quelle: </w:t>
      </w:r>
      <w:r>
        <w:t>https://mcp.opencaselaw.ch/entscheid/bger_P_68_00</w:t>
      </w:r>
    </w:p>
    <w:p>
      <w:r>
        <w:t>FR: TF P 68/00 du 10 mai 2001</w:t>
      </w:r>
    </w:p>
    <w:p>
      <w:r>
        <w:t>IT: TF P 68/00 del 10 maggio 2001</w:t>
      </w:r>
    </w:p>
    <w:p>
      <w:pPr>
        <w:pStyle w:val="Heading2"/>
      </w:pPr>
      <w:r>
        <w:t>Regeste</w:t>
      </w:r>
    </w:p>
    <w:p>
      <w:r>
        <w:t>Ergänzungsleistung</w:t>
      </w:r>
    </w:p>
    <w:p>
      <w:pPr>
        <w:pStyle w:val="Heading2"/>
      </w:pPr>
      <w:r>
        <w:t>Erwägungen</w:t>
      </w:r>
    </w:p>
    <w:p>
      <w:r>
        <w:rPr>
          <w:b/>
        </w:rPr>
        <w:t>E. 1</w:t>
      </w:r>
    </w:p>
    <w:p>
      <w:r>
        <w:t>a) Laut Art. 27 Abs. 1 (Satz 1) ELV sind unrechtmässig bezogene Ergänzungsleistungen vom Bezüger oder seinen Erben zurückzuerstatten. Zu beachten ist, dass die Rückforderung von zu Unrecht bezogenen Geldleistungen in der Sozialversicherung nur unter den für die Wiedererwägung oder die prozessuale Revision formell rechtskräftiger Verfügungen massgebenden Voraussetzungen zulässig ist ( BGE 122 V 21 Erw. 3a).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Von der Wiedererwägung ist die sogenannte prozessuale Revision von Verwaltungsverfügungen zu unterscheiden. Danach ist die Verwaltung verpflichtet, auf eine formell rechtskräftige Verfügung zurückzukommen, wenn neue Tatsachen oder Beweismittel entdeckt werden, die geeignet sind, zu einer andern rechtlichen Beurteilung zu führen (122 V 21 Erw. 3a). b) Nach Art. 25 Abs. 1 lit. c ELV in der ab 1. Januar 1998 geltenden Fassung ist die jährliche Ergänzungsleistung zu erhöhen, herabzusetzen oder aufzuheben "bei Eintritt einer voraussichtlich längere Zeit dauernden Verminderung oder Erhöhung der vom ELG anerkannten Ausgaben und anrechenbaren Einnahmen sowie des Vermögens; massgebend sind die neuen, auf ein Jahr umgerechneten dauernden Ausgaben und Einnahmen und das bei Eintritt der Veränderung vorhandene Vermögen; macht die Änderung weniger als 120 Franken im Jahr aus, so kann auf eine Anpassung verzichtet werden. " Nach der alten Fassung von Art. 25 Abs. 1 lit. c aELV war die Ergänzungsleistung zu erhöhen, herabzusetzen oder aufzuheben "bei Eintritt einer voraussichtlich längere Zeit dauernden Verminderung oder Erhöhung des anrechenbaren Einkommens. Massgebend sind das neue, auf ein Jahr umgerechnete dauernde Einkommen und das bei Eintritt der Veränderung vorhandene Vermögen. Macht die Änderung weniger als 120 Franken im Jahr aus, so kann auf eine Anpassung verzichtet werden.. " Mit der terminologischen Neufassung, die mit der dritten Revision des Bundesgesetzes über Ergänzungsleistungen zur AHV und IV am 1. Januar 1998 in Kraft getreten ist, wollte der Gesetzgeber unter anderem die in der Praxis bereits angewandte Berechnungsart (anerkannte Ausgaben minus anrechenbare Einnahmen) für alle EL-Berechtigten gesetzlich verankern (Botschaft über die 3. Revision des Bundesgesetzes über Ergänzungsleistungen zur AHV und IV vom 20. November 1996, in: BBl 1997 I 1204). Die mit der 3. EL-Revision vorgenommene Neustrukturierung des ELG und die damit vorgeschlagene Berechnungsart "Ausgaben minus Einnahmen" (mit entsprechenden Anpassungen der ELV) sollen sowohl für Personen, die nicht im Heim leben, wie auch für Personen, die im Heim leben, für eine leichtere Verständlichkeit sorgen. Es handelt sich um eine andere Art der Darstellung, die zum selben Resultat wie bisher führt (Botschaft, a.a.O., S. 1210). Die Ergänzungsleistung ist neu zu verfügen: bei Erhöhung des Ausgabenüberschusses (bzw. "bei Verminderung des anrechenbaren Einkommens" nach Art. 25 Abs. 2 lit. b aELV) auf den Beginn des Monats, in dem die Änderung gemeldet wurde, frühestens aber des Monats, in dem diese eingetreten ist ( Art. 25 Abs. 2 lit. b ELV ); bei Verminderung des Ausgabenüberschusses (bzw. "bei Erhöhung des anrechenbaren Einkommens" nach Art. 25 Abs. 2 lit. c aELV), spätestens auf den Beginn des Monats, der auf die neue Verfügung folgt ( Art. 25 Abs. 2 lit. c ELV ). Vorbehalten bleibt Artikel 27 bei Verletzung der Meldepflicht (vgl. Art. 25 Abs. 2 lit. c ELV ; ebenso in der alten Fassung). Art. 25 ELV hat die Revision der Ergänzungsleistung im Sinne der Anpassung an geänderte tatsächliche Verhältnisse zum Gegenstand, regelt also Veränderungen in den persönlichen und wirtschaftlichen Verhältnissen des EL-Bezügers während des Leistungsbezuges ( BGE 119 V 193 unten; vgl. Meyer-Blaser, Die Abänderung formell rechtskräftiger Verwaltungsverfügungen in der Sozialversicherung, in: ZBl 95 [1994] S. 337 ff., S. 349). Gemäss der in Art. 24 Satz 1 ELV statuierten Meldepflicht hat die Anspruchsberechtigte, ihre gesetzliche Vertreterin oder gegebenenfalls die Drittperson oder die Behörde, welcher eine Ergänzungsleistung ausbezahlt wird, der kantonalen Durchführungsstelle von jeder Änderung der persönlichen und von jeder ins Gewicht fallenden Änderung der wirtschaftlichen Verhältnisse unverzüglich Mitteilung zu machen. c) Bei der Prüfung der Frage, wie der Rückforderungsbetrag zu berechnen sei, ist davon auszugehen, dass die Ergänzungsleistungen eine angemessene Deckung des Existenzbedarfs bedürftiger Rentner der Alters- und Hinterlas- senen- sowie der Invalidenversicherung bezwecken (vgl. Art. 112 Abs. 2 lit. b BV in Verbindung mit Art. 196 Ziff. 10 BV ; Art. 34quater Abs. 2 aBV in Verbindung mit Art. 11 Abs. 1 ÜbBest. aBV ; BGE 108 V 241 Erw. 4c). Grundsätzlich sind bei der Anspruchsberechtigung nur tatsächlich vereinnahmte Einkünfte und vorhandene Vermögenswerte zu berücksichtigen, über die der Leistungsansprecher ungeschmälert verfügen kann ( BGE 115 V 353 Erw. 5c mit Hinweisen; AHI 1994 S. 216 Erw. 3a). Dieser Grundsatz gilt auch bei der in Art. 25 ELV positivrechtlich normierten Anpassung (Erhöhung, Herabsetzung, Aufhebung) der Ergänzungsleistung an geänderte tatsächliche Verhältnisse. Dies bedeutet insbesondere, dass der EL-Neuberechnung der im Rahmen des Untersuchungsgrundsatzes und der dem EL-Bezüger obliegenden Mitwirkungspflicht ( BGE 119 V 211 Erw. 3b mit Hinweisen) festgestellte Sachverhalt zugrunde zu legen ist. Die gleichen Überlegungen gelten auch bei der Neuberechnung der Ergänzungsleistung im Hinblick auf eine Rückforderung von zuviel bezogenen Ergänzungsleistungen nach Art. 27 Abs. 1 ELV ( BGE 122 V 24 Erw. 5b). d) Im vorliegenden Fall ist zu Recht unbestritten, dass sowohl die Hilflosenentschädigung ab September 1996 ( Art. 15b ELV in der seit 1. Januar 1998 geltenden Fassung, vorher Art. 1a Abs. 5 aELV) als auch die Taggeldleistungen der Krankenkasse Helsana (Fr. 20.- pro Tag ab Oktober 1996) aus der Langzeitpflegeversicherung ( BGE 123 V 184 ) als Einnahmen anzurechnen sind. Damit steht fest, dass die ursprüngliche Berechnung des Anspruchs auf Ergänzungsleistungen wegen der aufgrund einer Meldepflichtverletzung bisher unbekannt gewesenen Einkommensbestandteile von der Verwaltung zu Recht im Rahmen einer prozessualen Revision korrigiert wurde.</w:t>
      </w:r>
    </w:p>
    <w:p>
      <w:r>
        <w:rPr>
          <w:b/>
        </w:rPr>
        <w:t>E. 2</w:t>
      </w:r>
    </w:p>
    <w:p>
      <w:r>
        <w:t>Streitig ist im vorliegenden Verfahren einzig die Höhe der Rückforderung. Mindestens in Bezug auf den Teilbetrag von Fr. 25'973. 40, eventuell sogar Fr. 38'564.-, der gesamten Rückforderungssumme anerkennt die Beschwerdeführerin ihre Rückerstattungspflicht gemäss Verwaltungsverfügung. Zu prüfen bleibt demnach, ob auch die restlichen Fr. 15'446. 60, eventuell Fr. 2856.-, der Rückerstattungsforderung von Fr. 41'420.- zurückzubezahlen sind. a) Die Beschwerdeführerin begründet ihren Hauptantrag rechnerisch damit, vom Vermögen am Todestag von Fr. 63'785.- seien verschiedene Forderungen zulasten der Erbschaft im Gesamtbetrag von Fr. 12'811. 60 in Abzug zu bringen. Vom Restsaldo von Fr. 50'973. 40 müsse sodann der Vermögensfreibetrag von Fr. 25'000.- abgezogen werden, sodass ein verfügbarer Betrag von bloss noch Fr. 25'973. 40 (anstatt der geltend gemachten Rückforderung von Fr. 41'420.-) resultiere, der zurückzuerstatten sei. Begründet wird diese Auffassung damit, der Freibetrag von Fr. 25'000.- müsse bei der Berechnung der Rückforderungssumme mit berücksichtigt werden. Die Erbin sei in Bezug auf diesen Freibetrag nicht schlechter zu stellen als die Erblasserin selber. aa) Nach Art. 3c Abs. 1 lit. c Satz 1 ELG in der seit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