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P_61/2004 vom 23. März 2006</w:t>
      </w:r>
    </w:p>
    <w:p>
      <w:r>
        <w:t>Bundesgericht, 2006-03-23, FR</w:t>
      </w:r>
    </w:p>
    <w:p>
      <w:r>
        <w:rPr>
          <w:b/>
        </w:rPr>
        <w:t xml:space="preserve">Quelle: </w:t>
      </w:r>
      <w:r>
        <w:t>https://mcp.opencaselaw.ch/entscheid/bger_P_61_2004</w:t>
      </w:r>
    </w:p>
    <w:p>
      <w:r>
        <w:t>FR: TF P_61/2004 du 23 mars 2006</w:t>
      </w:r>
    </w:p>
    <w:p>
      <w:r>
        <w:t>IT: TF P_61/2004 del 23 marzo 2006</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w:t>
      </w:r>
    </w:p>
    <w:p>
      <w:r>
        <w:t>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L'allocation ou la restitution des prestations complémentaires n'est donc pas soumise aux mêmes voies de recours selon qu'elle est régie par le droit cantonal ou par le droit fédéral (cf. ATF 125 V 184 consid. 2a).</w:t>
      </w:r>
    </w:p>
    <w:p>
      <w:r>
        <w:t>Cela étant, la Cour de céans ne peut entrer en matière sur le recours de droit administratif que dans la mesure où il concerne des prestations complémentaires de droit fédéral.</w:t>
      </w:r>
    </w:p>
    <w:p>
      <w:r>
        <w:rPr>
          <w:b/>
        </w:rPr>
        <w:t>E. 2</w:t>
      </w:r>
    </w:p>
    <w:p>
      <w:r>
        <w:t>La loi fédérale sur la partie générale du droit des assurances sociales du 6 octobre 2000 (LPGA) est entrée en vigueur le 1er janvier 2003, entraînant la modification de nombreuses dispositions légales dans le régime des prestations complémentaires de l'AVS/AI. Le cas d'espèce reste cependant régi par les dispositions de la LPC en vigueur jusqu'au 31 décembre 2002, eu égard au principe selon lequel les règles applicables sont celles en vigueur au moment où les faits juridiquement déterminants se sont produits. Aussi, la question de la restitution des prestations complémentaires indûment perçues durant la période du 1er juin 1997 au 31 mai 2002 doit-elle être examinée au regard de l'ancien droit ( ATF 130 V 445 et les références; cf. aussi ATF 130 V 329 ).</w:t>
      </w:r>
    </w:p>
    <w:p>
      <w:r>
        <w:rPr>
          <w:b/>
        </w:rPr>
        <w:t>E. 3</w:t>
      </w:r>
    </w:p>
    <w:p>
      <w:r>
        <w:t>Le principe de la prise en considération de la somme de 38'927 fr. à titre de dessaisissement dans le calcul de la prestation complémentaire dès le 1er janvier 2002, n'est pas contesté. Aucun élément au dossier ne justifie d'examiner ce point plus avant.</w:t>
      </w:r>
    </w:p>
    <w:p>
      <w:r>
        <w:rPr>
          <w:b/>
        </w:rPr>
        <w:t>E. 4</w:t>
      </w:r>
    </w:p>
    <w:p>
      <w:r>
        <w:t>Devant le Tribunal fédéral des assurances, le litige porte sur le moment à partir duquel l'héritage dont l'intimée a bénéficié doit être pris en compte à titre de revenu déterminant (art. 3c al. 1 let. b et c LPC) dans le calcul de la prestation complémentaire à l'AVS.</w:t>
      </w:r>
    </w:p>
    <w:p>
      <w:r>
        <w:t>L'OCPA et les premiers juges divergent à ce sujet. Selon la juridiction cantonale, tant que la succession n'est pas partagée, les droits et les obligations du de cujus restent indivis ( art. 602 al. 1 CC ). Les biens de la communauté héréditaire constituent ainsi un patrimoine particulier, juridiquement distinct de celui de chaque héritier. Comme les décisions relatives à l'administration et à la disposition des biens doivent être prises en commun, on ne saurait tenir compte de montants reçus en héritage, dans le cadre du droit aux prestations complémentaires, que dès l'instant où les héritiers peuvent librement en disposer, soit après le partage de la succession.</w:t>
      </w:r>
    </w:p>
    <w:p>
      <w:r>
        <w:t>Ainsi que l'office recourant le fait observer à juste titre, le point de vue des premiers juges est contraire à la jurisprudence. En effet, de manière constante, la Cour de céans a confirmé que lors du calcul de la prestation complémentaire, la part d'héritage d'un bénéficiaire de PC doit être prise en compte dès l'ouverture de la succession qu'il acquiert de plein droit ( art. 560 al. 1 CC ), soit au décès du de cujus (cf. art. 537 al. 1 CC ) et non seulement à partir du moment où le partage est réalisé (RCC 1992 p. 347 consid. 2c; consid. 3.3 de l'arrêt V. du 17 septembre 2003, P 54/02; Carigiet, Ergänzungsleistungen zur AHV/IV, p. 116).</w:t>
      </w:r>
    </w:p>
    <w:p>
      <w:r>
        <w:rPr>
          <w:b/>
        </w:rPr>
        <w:t>E. 5</w:t>
      </w:r>
    </w:p>
    <w:p>
      <w:r>
        <w:t>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 ATF 122 V 21 consid. 3a, 173 consid. 4a, 271 consid. 2, 368 consid. 3, 121 V 4 consid. 6 et les arrêts cités).</w:t>
      </w:r>
    </w:p>
    <w:p>
      <w:r>
        <w:t>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w:t>
      </w:r>
    </w:p>
    <w:p>
      <w:r>
        <w:rPr>
          <w:b/>
        </w:rPr>
        <w:t>E. 6</w:t>
      </w:r>
    </w:p>
    <w:p>
      <w:r>
        <w:t>En l'espèce, l'office recourant a alloué des prestations complémentaires dès le 1er juin 1997 parce qu'il ignorait l'existence d'une succession (acquise en mars 1988); celle-ci n'a été portée à sa connaissance que postérieurement à l'octroi des prestations complémentaires, soit au mois de juin 2001. Or, la prise en compte de ce capital dans le revenu déterminant excluait tout droit à une prestation complémentaire. Dès lors qu'il s'agit indéniablement d'un fait important de nature à conduire à une appréciation juridique différente, mais qui a été découvert après coup, on est en présence d'un motif de révision procédurale ( ATF 122 V 138 consid. 2d et les arrêts cités). Dans ces circonstances, l'obligation de restituer les prestations complémentaires indûment perçues vise simplement à rétablir l'ordre légal, après la découverte d'un fait nouveau.</w:t>
      </w:r>
    </w:p>
    <w:p>
      <w:r>
        <w:t>On ajoutera que le droit de l'administration de demander la restitution des sommes indûment versées n'était pas périmé au moment où elle l'a exercé ( art. 47 al. 2 LAVS et 27 al. 1 OPC-AVS/AI, dans leur teneur en vigueur jusqu'au 31 décembre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