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P_55/2006 vom 22. Oktober 2007</w:t>
      </w:r>
    </w:p>
    <w:p>
      <w:r>
        <w:t>Bundesgericht, 2007-10-22, DE</w:t>
      </w:r>
    </w:p>
    <w:p>
      <w:r>
        <w:rPr>
          <w:b/>
        </w:rPr>
        <w:t xml:space="preserve">Quelle: </w:t>
      </w:r>
      <w:r>
        <w:t>https://mcp.opencaselaw.ch/entscheid/bger_P_55_2006</w:t>
      </w:r>
    </w:p>
    <w:p>
      <w:r>
        <w:t>FR: TF P_55/2006 du 22 octobre 2007</w:t>
      </w:r>
    </w:p>
    <w:p>
      <w:r>
        <w:t>IT: TF P_55/2006 del 22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392 E. 1.2 S. 395).</w:t>
      </w:r>
    </w:p>
    <w:p>
      <w:r>
        <w:rPr>
          <w:b/>
        </w:rPr>
        <w:t>E. 2.1</w:t>
      </w:r>
    </w:p>
    <w:p>
      <w:r>
        <w:t>Die Beschwerdeführerin rügt eine Verletzung des Anspruchs auf ein faires Verfahren nach Art. 6 Ziff. 1 EMRK , indem die Vorinstanz es der Gegenpartei frei gestellt habe, an der Hauptverhandlung teilzunehmen. Diese Rüge ist unbegründet. Das Recht auf ein faires Verfahren gemäss Art. 6 Ziff. 1 EMRK umfasst auch das Recht auf Waffengleichheit und gibt dem Betroffenen einen Anspruch auf verfahrensrechtliche Gleichstellung (Mark Villiger, Handbuch der Europäischen Menschenrechtskonvention [EMRK], 2. Aufl., Zürich 1999, S. 307). In Verfahren über zivilrechtliche Ansprüche im Sinne der EMRK - wozu auch sozialversicherungsrechtliche Leistungs- und Abgabestreitigkeiten gehören ( BGE 122 V 47 E. 2a S. 50 f. mit Hinweisen) - besteht jedoch kein generelles Recht auf eine mündliche Konfrontation mit der Gegenpartei vor dem urteilenden Gericht. Dem konventionsrechtlichen Anspruch auf ein kontradiktorisches Verfahren ist Genüge getan, wenn die betroffene Person Gelegenheit erhält, sich zu sämtlichen Argumenten und Vorbringen der Gegenpartei in mündlicher oder schriftlicher Form zu äussern (Urteile des Europäischen Gerichtshofs für Menschenrechte in Sachen Schaller-Bossert gegen Schweiz vom 24. Mai 2007, 41718/05, und Augusto gegen Frankreich vom 11. Januar 2007, 71665/01, § 50). Der ebenfalls durch Art. 6 Ziff. 1 EMRK gewährleistete Anspruch auf eine mündliche Verhandlung soll es dem Einzelnen ermöglichen, seine Argumente dem Gericht mündlich in einer grundsätzlichen öffentlichen Sitzung vortragen zu können ( BGE 122 V 47 E. 2a S. 50 mit Hinweis; SVR 2006 IV Nr. 6 S. 1 E. 3.3, I 573/03). Auch daraus lässt sich keine Verpflichtung des Gerichts ableiten, der Gegenpartei das persönliche Erscheinen vorzuschreiben.</w:t>
      </w:r>
    </w:p>
    <w:p>
      <w:r>
        <w:rPr>
          <w:b/>
        </w:rPr>
        <w:t>E. 2.2</w:t>
      </w:r>
    </w:p>
    <w:p>
      <w:r>
        <w:t>Unbegründet ist die Rüge einer Verletzung des Anspruchs auf ein faires Verfahren auch insofern, als geltend gemacht wird, das Verhandlungsprotokoll sei willkürlich verfasst worden, indem die vom Vertreter der Beschwerdeführerin gemachten Aussagen zur Verhandlungsführung nicht festgehalten worden seien. Aus dem Verhandlungsprotokoll geht hervor, dass das Gericht die diesbezüglichen Ausführungen und insbesondere die Rüge, wonach die Beschwerdeführerin durch das gerichtlich geduldete Nichterscheinen der Gegenpartei in ihren Rechten beeinträchtigt sei, protokollarisch zur Kenntnis genommen hat. Im Entscheid vom 12. September 2006 hat das Gericht hiezu eingehend und zutreffend Stellung genommen (E. 1.6). Im Übrigen hat der als Vertreter der Beschwerdeführerin handelnde Schwiegersohn dem Gericht den Parteivortrag schriftlich zu den Akten gegeben und mit Ausnahme einiger formeller Korrekturen keine Änderungen oder Ergänzungen beantragt.</w:t>
      </w:r>
    </w:p>
    <w:p>
      <w:r>
        <w:rPr>
          <w:b/>
        </w:rPr>
        <w:t>E. 3</w:t>
      </w:r>
    </w:p>
    <w:p>
      <w:r>
        <w:t>Materiell beanstandet die Beschwerdeführerin vorab die Anrechnung eines Verzichtsvermögens und der im Vertrag vom 24. April 1992 vereinbarten Leibrente.</w:t>
      </w:r>
    </w:p>
    <w:p>
      <w:r>
        <w:rPr>
          <w:b/>
        </w:rPr>
        <w:t>E. 3.1</w:t>
      </w:r>
    </w:p>
    <w:p>
      <w:r>
        <w:t>Im kantonalen Entscheid werden die für den Anspruch auf Ergänzungsleistungen geltenden Voraussetzungen ( Art. 2 ELG ) und die hier relevanten Berechnungsregeln ( Art. 3a-3c ELG ) zutreffend dargelegt. Richtig sind auch die vorinstanzlichen Ausführungen zur Anrechenbarkeit von Einkünften und Vermögenswerten, auf die verzichtet worden ist ( Art. 3c Abs. 1 lit. g ELG ), und zur Rechtsprechung bezüglich der Frage, unter welchen Umständen eine Verzichtshandlung im Sinne dieser Bestimmung vorliegt ( BGE 131 V 329 E. 4.2 S. 332, 123 V 35 E. 1 S. 37, 121 V 204 E. 4a S. 205, 120 V 182). Darauf wird verwiesen.</w:t>
      </w:r>
    </w:p>
    <w:p>
      <w:r>
        <w:rPr>
          <w:b/>
        </w:rPr>
        <w:t>E. 3.2</w:t>
      </w:r>
    </w:p>
    <w:p>
      <w:r>
        <w:t>Der Vorinstanz ist auch darin beizupflichten, dass P.________ mit dem Vertrag vom 24. April 1992 im Sinne von Art. 3c Abs. 1 lit. c auf Vermögenswerte verzichtet hat. Denn es ist offensichtlich, dass sie im damaligen Alter von 90 Jahren mit einer Leibrente von Fr. 1000.- im Monat bei geldwerten Leistungen an die Tochter in Höhe von Fr. 300'000.- auch unter Berücksichtigung der vereinbarten Rentenindexierung keine adäquate Gegenleistung erhalten hat (vgl. BGE 122 V 394 E. 5a S. 400). Die Ausgleichskasse ist daher zu Recht von einem Verzichtsvermögen von Fr. 300'000.- ausgegangen, wovon der Kapitalwert der Leibrente in Abzug zu bringen war, was gemäss Einspracheentscheid vom 24. Oktober 2005 unter Berücksichtigung der Amortisation von jährlich Fr. 10'000.- ( Art. 17a Abs. 1 ELV ) für den Zeitpunkt der EL-Berechnung ab 1. Juni 2005 ein Verzichtsvermögen von Fr. 112'570.- und einen Zins auf dem Verzichtsvermögen von Fr. 1125.- im Jahr ergab. Wie im angefochtenen Entscheid dargelegt wird, entsprechen diese Berechnungen den einschlägigen Vorschriften und sind - vorbehältlich der nachträglich erforderlich gewordenen Korrekturen - nicht zu beanstanden. Die Beschwerdeführerin bringt diesbezüglich auch in der Verwaltungsgerichtsbeschwerde nichts Konkretes vor, sondern wiederholt den schon im kantonalen Verfahren erhobenen Einwand, wonach auch beim Vermögensverzicht die zivilrechtlichen Verjährungsregeln zu beachten seien. Wie bereits die Vorinstanz festgestellt hat, sind diese Regeln nicht anwendbar und ist der Vermögensverzicht (unter Vorbehalt der für den Rückforderungsanspruch geltenden Verjährungsfrist: BGE 105 V 74 ) grundsätzlich ohne zeitliche Beschränkung zu berücksichtigen (vgl. Urs Müller, Bundesgesetz über Ergänzungsleistungen zur AHV/IV, in Murer/Stauffer [Hrsg.], Rechtsprechung des Bundesgerichts zum Sozialversicherungsrecht, 2. Aufl. 2006, S. 143, N 463 zu Art. 3c ELG ). Das Korrektiv besteht darin, dass der anzurechnende Betrag gemäss Art. 17a ELV jährlich um Fr. 10'000.- vermindert wird (Pierre Ferrari, Dessaisissement volontaire et prestations complémentaires à l'AVS/AI, in: SZS 2002 S. 417 ff., insbes. S. 420). Die Anrechnung eines Verzichtsvermögens und eines Ertrages auf diesem Vermögen besteht folglich zu Recht. Die Rüge, der angefochtene Entscheid verletze in diesem Punkt Art. 6 Ziff 1 und Art. 8 EMRK , ist unbegründet.</w:t>
      </w:r>
    </w:p>
    <w:p>
      <w:r>
        <w:rPr>
          <w:b/>
        </w:rPr>
        <w:t>E. 3.3</w:t>
      </w:r>
    </w:p>
    <w:p>
      <w:r>
        <w:t>Hinsichtlich der von der Beschwerdeführerin geltend gemachten Grundlagenänderung bezüglich des Leibrentenvertrages ist mit der Vorinstanz vorab festzuhalten, dass der Vertrag vom 24. April 1992 keinen Vorbehalt für nachträgliche Änderungen in den tatsächlichen Verhältnissen enthielt und eine allfällige Vertragsänderung der Schriftform bedurft hätte ( Art. 517 OR ). Mangels einer solchen Änderung verfügte die Versicherte weiterhin über einen gültigen und uneingeschränkten Forderungstitel. Sodann ist festzuhalten, dass eine Verzichtshandlung im Sinne von Art. 3c Abs. 1 lit. g ELG auch dann vorliegt, wenn die versicherte Person einen Rechtsanspruch auf bestimmte Einkünfte und Vermögenswerte hat, davon aber faktisch nicht Gebrauch macht bzw. ihre Rechte nicht durchsetzt (Urteil P 31/01 vom 13. Dezember 2001, mit Hinweisen auf BGE 121 V 204 E. 4a S. 205, 117 V 287 E. 2a S. 289; AHI 1997 S. 254 E. 2; SVR 1999 EL Nr. 2 S. 3 E. 2). Aufgrund dieser Bestimmung dürfen einem Leistungsansprecher allerdings nur solche Aktiven angerechnet werden, die einen reellen, wirtschaftlichen Wert darstellen. Nicht anrechenbar sind Ansprüche, welche als uneinbringlich zu gelten haben. Eine Uneinbringlichkeit kann in der Regel jedoch erst dann angenommen werden, wenn sämtliche zumutbaren rechtlichen Möglichkeiten zur Realisierung der Forderung ausgeschöpft sind (Urteil P 12/01 vom 9. August 2001, mit Hinweis auf ZAK 1991 S. 137). Davon kann abgewichen werden, wenn eindeutig erwiesen ist, dass der Schuldner nicht in der Lage ist, seinen Verpflichtungen nachzukommen, was sich namentlich aus amtlichen Bestätigungen (beispielsweise der Steuerbehörden oder der Betreibungs- und Konkursämter) über die Einkommens- und Vermögensverhältnisse des Schuldners ergeben kann (Urteil P 68/02 vom 11. Februar 2004 mit Hinweis auf Pra 1998 Nr. 12 S. 72 und SVR 1996 EL Nr. 20 S. 59). Für die Uneinbringlichkeit der Forderung trägt grundsätzlich der Leistungsansprecher die Beweislast ( BGE 121 V 204 E. 6 S. 208). Einen entsprechenden Nachweis hat die Beschwerdeführerin nicht erbracht. Auch in Kenntnis der im kantonalen Entscheid dargelegten Rechtsprechung macht sie keine näheren Angaben zu den eigenen Einkommens- und Vermögensverhältnissen in der fraglichen Zeit. Es muss daher bei der Feststellung bleiben, dass der angefochtene Entscheid auch in diesem Punkt bundesrechtskonform ist.</w:t>
      </w:r>
    </w:p>
    <w:p>
      <w:r>
        <w:rPr>
          <w:b/>
        </w:rPr>
        <w:t>E. 3.4</w:t>
      </w:r>
    </w:p>
    <w:p>
      <w:r>
        <w:t>Hinsichtlich der rechnerischen Ermittlung der Ergänzungsleistung unter Berücksichtigung der Heimaufenthaltskosten und der Hilflosenentschädigung gemäss den mit der vorinstanzlichen Duplik der Ausgleichskasse eingereichten Berechnungsblättern bringt die Beschwerdeführerin nichts Konkretes vor. Es geht daraus hervor, dass für die Zeit vom 1. Juni - 31. Juli 2005 ein Einnahmenüberschuss von Fr. 19'104.-, vom 1. August - 31. Dezember 2005 ein solcher von Fr. 919.- und vom 1. Januar - 28. Februar 2006 ein Ausgabenüberschuss von Fr. 349.- monatlich bestanden hat. Es kann diesbezüglich auf die Darlegungen von Verwaltung und Vorinstanz verwiesen werden, welchen nichts beizufügen ist.</w:t>
      </w:r>
    </w:p>
    <w:p>
      <w:r>
        <w:rPr>
          <w:b/>
        </w:rPr>
        <w:t>E. 4.1</w:t>
      </w:r>
    </w:p>
    <w:p>
      <w:r>
        <w:t>Zu Recht nicht eingetreten ist die Vorinstanz auf die Beschwerde, soweit damit geltend gemacht wurde, die Ausgleichskasse habe bezüglich des Anspruchs auf Hilflosenentschädigung eine falsche Auskunft erteilt, welche dazu geführt habe, dass ein Anspruch erst ab dem 1. August 2004 anerkannt worden sei. Wie im kantonalen Entscheid ausführlich dargelegt wird, sind im verwaltungsgerichtlichen Beschwerdeverfahren grundsätzlich nur Rechtsverhältnisse zu überprüfen und zu beurteilen sind, zu denen die zuständige Verwaltungsbehörde vorgängig verbindlich Stellung genommen hat. Zudem sind Rechtsverhältnisse, die ausserhalb des durch die Verfügung bestimmten Anfechtungsgegenstandes liegen, grundsätzlich nicht zu überprüfen ( BGE 131 V 161 E. 2.1 S. 164 mit Hinweisen).</w:t>
      </w:r>
    </w:p>
    <w:p>
      <w:r>
        <w:rPr>
          <w:b/>
        </w:rPr>
        <w:t>E. 4.2</w:t>
      </w:r>
    </w:p>
    <w:p>
      <w:r>
        <w:t>Fehl geht auch der Einwand, der vorinstanzliche Entscheid enthalte unzutreffende Feststellungen bezüglich des Ersatzes von Spitexkosten und lasse unberücksichtigt, dass sich die Ausgleichskasse faktisch geweigert habe, auf das entsprechende Gesuch einzutreten. Im Einspracheentscheid vom 24. Oktober 2005 hat die Ausgleichskasse die Beschwerdeführerin ausdrücklich darauf hingewiesen, dass die Spitexkosten nicht Gegenstand der angefochtenen Verfügung bildeten und hierüber separat verfügt werde, wobei der Anspruch unter Beilage der entsprechenden Belege bei der AHV-Zweigstelle geltend zu machen sei. Sie ist damit der ihr obliegenden Aufklärungspflicht ( Art. 27 ATSG ) nachgekommen und hat weder gegen das von der Beschwerdeführerin angerufene Gebot von Treu und Glauben verstossen noch hat sie überspitzt formalistisch bzw. rechtsverweigernd gehandelt, wie im vorinstanzlichen Entscheid richtig dargelegt wird (E. 2.2). Das Begehren, die Ausgleichskasse sei anzuweisen, die Unterlagen betreffend Spitexleistungen an die zuständige Stelle weiterzuleiten, ist mithin abzuweisen. Auf den Antrag betreffend Altersheimfinanzierung durch die Ausgleichskasse ist mangels Anfechtungsgegenstand nicht einzutreten.</w:t>
      </w:r>
    </w:p>
    <w:p>
      <w:r>
        <w:rPr>
          <w:b/>
        </w:rPr>
        <w:t>E. 5.1</w:t>
      </w:r>
    </w:p>
    <w:p>
      <w:r>
        <w:t>Was schliesslich den Anspruch auf Parteientschädigung betrifft, verstösst es nicht gegen Bundesrecht, wenn die Vorinstanz der teilweise obsiegenden Beschwerdeführerin keine Entschädigung zugesprochen hat. Nach der auch im Rahmen von Art. 61 lit. g ATSG anwendbaren Rechtsprechung hat eine unverbeiständete Partei nur ausnahmsweise Anspruch auf Parteientschädigung, wenn es sich um eine komplizierte Streitsache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 BGE 127 V 205 E. 4b S. 207 mit Hinweisen). Wie im angefochtenen Entscheid zutreffend dargelegt wird, sind diese Voraussetzungen im vorliegenden Fall nicht erfüllt, weshalb das Begehren abzuweisen war.</w:t>
      </w:r>
    </w:p>
    <w:p>
      <w:r>
        <w:rPr>
          <w:b/>
        </w:rPr>
        <w:t>E. 5.2</w:t>
      </w:r>
    </w:p>
    <w:p>
      <w:r>
        <w:t>Für das letztinstanzliche Verfahren besteht schon deshalb kein Anspruch auf Parteientschädigung, weil die Beschwerdeführerin vollumfänglich unterliegt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