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36/04 vom 29. Oktober 2004</w:t>
      </w:r>
    </w:p>
    <w:p>
      <w:r>
        <w:t>Bundesgericht, 2004-10-29, DE</w:t>
      </w:r>
    </w:p>
    <w:p>
      <w:r>
        <w:rPr>
          <w:b/>
        </w:rPr>
        <w:t xml:space="preserve">Quelle: </w:t>
      </w:r>
      <w:r>
        <w:t>https://mcp.opencaselaw.ch/entscheid/bger_P_36_04</w:t>
      </w:r>
    </w:p>
    <w:p>
      <w:r>
        <w:t>FR: TF P 36/04 du 29 octobre 2004</w:t>
      </w:r>
    </w:p>
    <w:p>
      <w:r>
        <w:t>IT: TF P 36/04 del 29 ottobre 2004</w:t>
      </w:r>
    </w:p>
    <w:p>
      <w:pPr>
        <w:pStyle w:val="Heading2"/>
      </w:pPr>
      <w:r>
        <w:t>Regeste</w:t>
      </w:r>
    </w:p>
    <w:p>
      <w:r>
        <w:t>Ergänzungsleistung</w:t>
      </w:r>
    </w:p>
    <w:p>
      <w:pPr>
        <w:pStyle w:val="Heading2"/>
      </w:pPr>
      <w:r>
        <w:t>Erwägungen</w:t>
      </w:r>
    </w:p>
    <w:p>
      <w:r>
        <w:rPr>
          <w:b/>
        </w:rPr>
        <w:t>E. 1.1</w:t>
      </w:r>
    </w:p>
    <w:p>
      <w:r>
        <w:t>Die Ergänzungsleistungen bestehen aus der jährlichen Ergänzungsleistung, welche monatlich ausbezahlt wird, sowie der Vergütung von Krankheits- und Behinderungskosten ( Art. 3 Abs. 1 lit. a und b ELG ). Die jährliche Ergänzungsleistung hat dem Betrag zu entsprechen, um den die anerkannten Ausgaben die anrechenbaren Einnahmen übersteigen ( Art. 3a Abs. 1 ELG ). Bei Personen, die nicht dauernd oder längere Zeit in einem Heim oder Spital leben (zu Hause wohnende Personen), sind als Ausgaben anzuerkennen u.a. ein Betrag für den allgemeinen Lebensbedarf sowie der Mietzins einer Wohnung und die damit zusammenhängenden Nebenkosten (Art. 3b Abs. 1 lit. a Ingress und lit. b erster Satz ELG).</w:t>
      </w:r>
    </w:p>
    <w:p>
      <w:r>
        <w:rPr>
          <w:b/>
        </w:rPr>
        <w:t>E. 1.2.1</w:t>
      </w:r>
    </w:p>
    <w:p>
      <w:r>
        <w:t>Radio- und Fernsehempfangsgebühren nach Art. 55 Abs. 1 des Bundesgesetzes vom 21. Juni 1991 über Radio und Fernsehen (RTVG [SR 784.40]) und Art. 44 der Radio- und Fernsehverordnung vom 6. Oktober 1997 (RTVV [SR 784.401]) stellen nicht Mietzinsausgaben im Sinne von Art. 3b Abs. 1 lit. b erster Satz ELG dar. Es handelt sich bei diesen «Regalabgaben» ( BGE 121 II 183 ) nicht um Nebenkosten nach Art. 257a und b OR (Peter Higi, Zürcher Kommentar, 3. Aufl., N 45 zu Art. 256a-256b OR und N 5 ff. zu Art. 257a-257b OR ; Rolf Weber in: Obligationenrecht I. Art. 1-529 OR [Basler Kommentar zum Schweizerischen Privatrecht (Hrsg. Honsell/Vogt/Wiegand)], 3. Aufl., N 3 f. zu Art. 256b sowie N 1 zu Art. 257a und 257b; Urteil des Bundesgerichts in Sachen P. AG gegen A. AG vom 24. Mai 2000 [4C.82/2000] Erw. 3a und b mit weiteren Hinweisen auf die Lehre). Es kommt dazu, dass nach Art. 45 Abs. 2 RTVV EL-Bezüger auf entsprechendes Gesuch von der Gebührenpflicht befreit werden (Urteil A. vom 5. November 2003 Erw. 2.1.1, P 34/03).</w:t>
      </w:r>
    </w:p>
    <w:p>
      <w:r>
        <w:rPr>
          <w:b/>
        </w:rPr>
        <w:t>E. 1.2.2</w:t>
      </w:r>
    </w:p>
    <w:p>
      <w:r>
        <w:t>Radio- und Fernsehempfangsgebühren sind ergänzungsleistungsrechtlich somit zum allgemeinen Lebensbedarf zu zählen. Folgerichtig können sie bei der EL-Berechnung nicht separat im Rahmen der in Art. 5 Abs. 1 lit. b ELG festgelegten Höchstbeträge für die Mietzinsausgaben nach Art. 3b Abs. 1 lit. b ELG berücksichtigt werden. Ob sie im Mietvertrag unter den Nebenkosten aufgeführt werden oder sogar im Nettomietzins enthalten sind, ist nicht von Belang (erwähntes Urteil A. vom 5. November 2003 Erw. 2.1.2). Das für die Radio- und Fernsehempfangsgebühren nach Art. 55 Abs. 1 RTVG und Art. 44 RTVV Gesagte muss auch für Kabelfernsehgebühren gelten. Anders verhält es sich in Bezug auf die Kosten für den Kabelnetzanschluss (erwähntes Urteil A. vom 5. November 2003 Erw. 2.1.3; vgl. Higi, a.a.O., N 8 zu Art. 257a-257b OR und Weber, a.a.O., N 2 zu Art. 257a OR ).</w:t>
      </w:r>
    </w:p>
    <w:p>
      <w:r>
        <w:rPr>
          <w:b/>
        </w:rPr>
        <w:t>E. 2.1</w:t>
      </w:r>
    </w:p>
    <w:p>
      <w:r>
        <w:t>Der Versicherte macht geltend, falls keine Befreiung von den Kabelnetzgebühren der Cablecom möglich sei, seien sie in die EL-Berechnung aufzunehmen und als Wohnnebenkosten zu berücksichtigen. Eine Satellitenschüssel verursache ebenfalls Kosten, die er nicht zu tragen vermöge. Der Empfang von Informationen gehöre mittlerweile wohl zu den Grundrechten, worauf auch EL-Empfänger Anspruch hätten.</w:t>
      </w:r>
    </w:p>
    <w:p>
      <w:r>
        <w:rPr>
          <w:b/>
        </w:rPr>
        <w:t>E. 2.2</w:t>
      </w:r>
    </w:p>
    <w:p>
      <w:r>
        <w:t>Gemäss dem vom Versicherten aufgelegten Schreiben der Cablecom vom 27. Januar 2004 ist die Einigung zwischen ihr und dem Preisüberwacher aus dem Jahre 1999 betreffend die Gebührenbefreiung Ende 2001 abgelaufen. Aus diesem Grund könne sie keine Befreiungen mehr gewähren. Das kantonale Gericht hat korrekt erwogen, dass die EL-Organe nicht zuständig sind, über eine Befreiung des Versicherten von der Bezahlung der Cablecom-Gebühren zu entscheiden. Dies liegt in der Kompetenz der Cablecom.</w:t>
      </w:r>
    </w:p>
    <w:p>
      <w:r>
        <w:rPr>
          <w:b/>
        </w:rPr>
        <w:t>E. 2.3</w:t>
      </w:r>
    </w:p>
    <w:p>
      <w:r>
        <w:t>Im Weiteren hat der Bezirksrat richtig befunden, dass die Cablecom-Gebühren in der EL-Berechnung nicht separat bei den Mietzins- und Nebenkostenausgaben berücksichtigt werden können. Denn diese Gebühren gehören, wie die Radio- und Fernsehempfangsgebühren, zum allgemeinen Lebensbedarf (Erw. 1.2.2 hievor). Hieran vermögen die Einwendungen des Versicherten nichts zu ändern.</w:t>
      </w:r>
    </w:p>
    <w:p>
      <w:r>
        <w:rPr>
          <w:b/>
        </w:rPr>
        <w:t>E. 3</w:t>
      </w:r>
    </w:p>
    <w:p>
      <w:r>
        <w:t>Das Verfahren ist kostenlos ( Art. 134 OG ). Das Gesuch um unentgeltliche Rechtspflege im Sinne der Befreiung von den Gerichtskosten erweist sich daher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