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32/01 vom 14. August 2001</w:t>
      </w:r>
    </w:p>
    <w:p>
      <w:r>
        <w:t>Bundesgericht, 2001-08-14, FR</w:t>
      </w:r>
    </w:p>
    <w:p>
      <w:r>
        <w:rPr>
          <w:b/>
        </w:rPr>
        <w:t xml:space="preserve">Quelle: </w:t>
      </w:r>
      <w:r>
        <w:t>https://mcp.opencaselaw.ch/entscheid/bger_P_32_01</w:t>
      </w:r>
    </w:p>
    <w:p>
      <w:r>
        <w:t>FR: TF P 32/01 du 14 août 2001</w:t>
      </w:r>
    </w:p>
    <w:p>
      <w:r>
        <w:t>IT: TF P 32/01 del 14 agosto 2001</w:t>
      </w:r>
    </w:p>
    <w:p>
      <w:pPr>
        <w:pStyle w:val="Heading2"/>
      </w:pPr>
      <w:r>
        <w:t>Regeste</w:t>
      </w:r>
    </w:p>
    <w:p>
      <w:r>
        <w:t>Prestations complémentaires à l'AVS/AI</w:t>
      </w:r>
    </w:p>
    <w:p>
      <w:pPr>
        <w:pStyle w:val="Heading2"/>
      </w:pPr>
      <w:r>
        <w:t>Erwägungen</w:t>
      </w:r>
    </w:p>
    <w:p>
      <w:r>
        <w:rPr>
          <w:b/>
        </w:rPr>
        <w:t>E. 1</w:t>
      </w:r>
    </w:p>
    <w:p>
      <w:r>
        <w:t>Le recourant soutient que son recours à l'autorité cantonale n'était pas manifestement mal fondé, de sorte que le juge instructeur n'était pas compétent pour statuer à son sujet en tant que juge unique. Le droit des parties à une composition régulière du tribunal découle des art. 30 Cst. et 6 § 1 CEDH . Par conséquent, il y a lieu d'annuler un jugement rendu à tort par un juge unique dans une affaire relevant de la compétence du tribunal selon la réglementation cantonale (arrêt non publié F. du 6 juillet 1994 [I 56/94]). L'art. 10 de la loi vaudoise sur le Tribunal des assurances (LTA; RSV 2.2 A) dispose que si le recours est tardif ou irrecevable à la forme ou s'il apparaît d'emblée comme manifestement mal fondé ou bien fondé, le juge instructeur statue comme juge unique sur le vu du dossier et après avoir provoqué, le cas échéant, des explications complémentaires des parties. Contrairement à ce que prétend le recourant, cette réglementation n'a pas été appliquée faussement par le premier juge. En effet, le recours à l'autorité cantonale apparaissait d'emblée manifestement mal fondé, comme on le verra ci-après.</w:t>
      </w:r>
    </w:p>
    <w:p>
      <w:r>
        <w:rPr>
          <w:b/>
        </w:rPr>
        <w:t>E. 2</w:t>
      </w:r>
    </w:p>
    <w:p>
      <w:r>
        <w:t>L'obligation de restituer se fonde en l'espèce sur la découverte d'un fait nouveau, qui a conduit l'administration à procéder à une révision de ses décisions par lesquelles elle avait alloué des prestations complémentaires à l'assuré. Dans un tel cas, l'administration doit recalculer le revenu déterminant dès qu'elle a été informée de l'existence de ce fait. Le nouveau calcul déploie des effets ex tunc, comme c'est le cas dans la révision procédurale, avec comme conséquence l'obligation de restituer les prestations complémentaires indûment touchées, conformément à l' art. 27 al. 1 OPC-AVS/AI ( ATF 122 V 138 consid. 2d). En l'occurrence, le recourant ne conteste pas le nouveau calcul de la caisse qui aboutit à un versement indu de 12 502 fr. 65. Il fait cependant valoir que la créance de la caisse était périmée. Selon lui, le premier juge n'a pas tenu compte du fait que la CNA a communiqué à l'Office de l'assurance-invalidité du canton de Vaud une copie de sa décision du 26 février 1996. A ce moment-là, les organes de l'AVS devaient avoir connaissance des faits litigieux. La caisse de compensation n'aurait donc pas agi dans le délai d'une année prévu par l' art. 47 al. 2 LAVS , auquel renvoie l' art. 27 OPC-AVS/AI . Ce moyen n'est pas fondé. D'après la jurisprudence, le délai de péremption d'une année de l' art. 47 al. 2 LAVS commence à courir dès le moment où la caisse aurait dû connaître les faits fondant l'obligation de restituer, en faisant preuve de l'attention que l'on pouvait raisonnablement exiger d'elle ( ATF 124 V 382 consid. 1). Or, dans le cas particulier, on ne voit pas comment la caisse aurait pu savoir que l'office de l'assurance-invalidité avait reçu une décision de la CNA. Les offices de l'assurance-invalidité et les caisses de compensation ont des attributions tout à fait différentes (voir, en matière d'assurance-invalidité, les art. 54 ss LAI et 60 ss LAI). La communication de la décision de la CNA à l'office de l'assurance-invalidité n'avait rien à voir avec le régime des prestations complémentaires, mais visait une coordination des prestations entre l'assurance-invalidité et l'assurance-accidents (cf. art. 127 OLAA ). Cette décision n'avait pas à être transmise à l'autorité compétente pour le versement des prestations complémentaires. Dans ces conditions, on doit admettre que le délai d'une année a commencé à courir au mois de mai 2000. Auparavant, l'agence communale (ou la caisse de compensation) ne disposait d'aucun indice ou élément lui permettant d'admettre que l'assuré percevait une rente de l'assurance-accidents plus élevée que le montant indiqué par le recourant lui-même. En rendant sa décision le 29 mai 2000, elle a de toute évidence agi en temps utile.</w:t>
      </w:r>
    </w:p>
    <w:p>
      <w:r>
        <w:rPr>
          <w:b/>
        </w:rPr>
        <w:t>E. 3</w:t>
      </w:r>
    </w:p>
    <w:p>
      <w:r>
        <w:t>Par ailleurs, comme le retient à juste titre le premier juge, l'une des conditions cumulatives auxquelles est subordonnée une remise de l'obligation de restituer - savoir la bonne foi (art. 47 al. 1, deuxième phrase, LAVS) - n'est pas remplie dans le cas particulier. Tout d'abord, le recourant aurait dû informer l'administration de l'augmentation de la rente de l'assurance-accidents dont il bénéficiait lorsqu'il a répondu, en mars 1997, au questionnaire de l'agence communale relatif à sa situation économique. Le recourant fait certes valoir que c'est un employé de l'agence qui a rempli le questionnaire avant de le lui faire signer; l'employé aurait repris, sans le contrôler, le montant de la rente de la CNA figurant dans la demande initiale de prestations du 15 novembre 1995. Mais cette circonstance ne dispensait pas le recourant d'attirer l'attention de ce fonctionnaire sur l'inexactitude du montant en question. Le silence du recourant à cette occasion est d'autant moins excusable que la différence entre les montants mensuels en cause (79 fr. et 723 fr.) était importante et qu'elle devait s'imposer au recourant comme un fait évident à signaler. De plus, le recourant s'est bien gardé, également, de mentionner cette différence à réception de la décision du 6 octobre 1997, par laquelle l'agence communale lui a alloué une prestation complémentaire. Cette décision indiquait pourtant clairement tous les éléments de calcul pris en compte par l'agence et donc, en particulier, le montant - à cette époque erroné - de 79 fr. de la rente versée par la CNA. La bonne foi du recourant doit dès lors être niée. Dans ce contexte, c'est en vain que le recourant reproche au premier juge de n'avoir pas entendu l'employé de l'agence dont il a été question plus haut. L'autorité cantonale pouvait en effet, par une appréciation anticipée des preuves (cf. ATF 122 V 162 consid. 1d), renoncer à ce témoignage.</w:t>
      </w:r>
    </w:p>
    <w:p>
      <w:r>
        <w:rPr>
          <w:b/>
        </w:rPr>
        <w:t>E. 4</w:t>
      </w:r>
    </w:p>
    <w:p>
      <w:r>
        <w:t>Il s'ensuit que présent le recours, manifestement infondé, doit être liquidé selon la procédure simplifiée prévue par l' art. 36a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