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27/04 vom 2. November 2004</w:t>
      </w:r>
    </w:p>
    <w:p>
      <w:r>
        <w:t>Bundesgericht, 2004-11-02, FR</w:t>
      </w:r>
    </w:p>
    <w:p>
      <w:r>
        <w:rPr>
          <w:b/>
        </w:rPr>
        <w:t xml:space="preserve">Quelle: </w:t>
      </w:r>
      <w:r>
        <w:t>https://mcp.opencaselaw.ch/entscheid/bger_P_27_04</w:t>
      </w:r>
    </w:p>
    <w:p>
      <w:r>
        <w:t>FR: TF P 27/04 du 2 novembre 2004</w:t>
      </w:r>
    </w:p>
    <w:p>
      <w:r>
        <w:t>IT: TF P 27/04 del 2 novembre 2004</w:t>
      </w:r>
    </w:p>
    <w:p>
      <w:pPr>
        <w:pStyle w:val="Heading2"/>
      </w:pPr>
      <w:r>
        <w:t>Regeste</w:t>
      </w:r>
    </w:p>
    <w:p>
      <w:r>
        <w:t>Prestations complémentaires à l'AVS/AI</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L'allocation ou la restitution des prestations complémentaires n'est donc pas soumise aux mêmes voies de recours selon qu'elle est régie par le droit cantonal ou par le droit fédéral (cf. ATF 125 V 184 consid. 2a). Cela étant, la cour de céans ne peut entrer en matière sur le recours de droit administratif que dans la mesure où il concerne des prestations complémentaires de droit fédéral.</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 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122 V 36 consid. 2a et les références).</w:t>
      </w:r>
    </w:p>
    <w:p>
      <w:r>
        <w:rPr>
          <w:b/>
        </w:rPr>
        <w:t>E. 2.2</w:t>
      </w:r>
    </w:p>
    <w:p>
      <w:r>
        <w:t>En l'occurrence, les décisions administratives du 19 juillet 1999 et la décision sur opposition du 26 juillet 2000 portaient exclusivement sur la restitution de prestations complémentaires indûment perçues. Toutefois, saisie d'un recours contre la décision sur opposition, la juridiction cantonale a étendu la procédure à la remise de l'obligation de restituer. Dans la mesure où l'OCPA s'était déjà exprimé à ce sujet dans ses déterminations du 8 décembre 2000 sur le recours devant la juridiction cantonale, la procédure juridictionnelle pouvait, pour des motifs d'économie de procédure, être étendue à cette question étroitement liée à la restitution de prestations indûment perçues et qui était en état d'être jugée.</w:t>
      </w:r>
    </w:p>
    <w:p>
      <w:r>
        <w:rPr>
          <w:b/>
        </w:rPr>
        <w:t>E. 3</w:t>
      </w:r>
    </w:p>
    <w:p>
      <w:r>
        <w:t>Le pouvoir d'examen du Tribunal fédéral des assurances n'est pas le même suivant que le procès concerne ou non l'octroi ou le refus de prestations d'assurance. Sont réputées prestations d'assurance au sens de l' art. 132 OJ , les prestations dont on examine la légitimité lors de la survenance de l'éventualité assurée ( ATF 122 V 136 consid. 1, 120 V 448 consid. 2a/bb). Selon une jurisprudence constante, cette notion comprend également la restitution de prestations indûment touchées (comme des rentes d'invalidité); en revanche, tel n'est pas le cas de la remise de l'obligation de restituer ( ATF 112 V 100 consid. 1b et les références). Lorsque ces deux points doivent être examinés au cours de la même procédure, le pouvoir d'examen est en principe étendu conformément à l' art. 132 OJ en ce qui concerne l'obligation de restituer, tandis que, s'agissant de la question de la remise d'une telle obligation, les art. 104 let. a et 105 al. 2 OJ sont applicables ( ATF 122 V 136 consid. 1, 98 V 276 consid. 3). En ce qui concerne la remise de l'obligation de restituer, le recours de droit administratif peut donc être formé uniquement pour violation du droit fédéral, y compris l'excès et l'abus du pouvoir d'appréciation ( art. 104 let. a OJ ); les faits pertinents constatés par les premiers juges ne peuvent être contestés que s'ils sont manifestement inexacts ou incomplets ou s'ils ont été établis au mépris de règles essentielles de procédure (art. 104 let. b en corrélation avec l' art. 105 al. 2 OJ ). En revanche, dans la procédure de recours portant sur la restitution de prestations indûment touchées, le pouvoir d'examen du Tribunal fédéral des assurances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4</w:t>
      </w:r>
    </w:p>
    <w:p>
      <w:r>
        <w:t>La loi fédérale sur la partie générale du droit des assurances sociales du 6 octobre 2000 (LPGA) est entrée en vigueur le 1er janvier 2003, entraînant la modification de nombreuses dispositions légales dans le régime des prestations complémentaires à l'AVS/AI. Cependant, le cas d'espèce reste régi par les dispositions de la LPC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5.1</w:t>
      </w:r>
    </w:p>
    <w:p>
      <w:r>
        <w:t>Feu J.________ a bénéficié de prestations complémentaires de droit fédéral jusqu'au 28 février 1996. Par ses décisions du 19 juillet 1999, confirmées par la décision sur opposition du 26 juillet 2000, l'OCPA a nié tout droit à de telles prestations à partir du 1er octobre 1992 et réclamé à la succession du prénommé les prestations perçues depuis cette date.</w:t>
      </w:r>
    </w:p>
    <w:p>
      <w:r>
        <w:rPr>
          <w:b/>
        </w:rPr>
        <w:t>E. 5.2</w:t>
      </w:r>
    </w:p>
    <w:p>
      <w:r>
        <w:t>La modification de décisions d'octroi de prestations complémentaires peut avoir un effet ex tunc - et, partant, justifier la répétition de prestations déjà perçues (cf. art. 27 al. 1 OPC-AVS/AI )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 ATF 122 V 21 consid. 3a, 138 consid. 2c, 173 consid. 4a, 272 consid. 2, 121 V 4 consid. 6 et les références),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 ATF 122 V 21 consid. 3a, 173 consid. 4a, 271 consid. 2, 368 consid. 3, 121 V 4 consid. 6 et les arrêts cités). En ce qui concerne plus particulièrement la révision, l'obligation de restituer des prestations complémentaires indûment touchées et son étendue dans le temps ne sont, en l'espèce, pas liées à une violation de l'obligation de renseigner ( ATF 122 V 139 consid. 2e). Il s'agit simplement de rétablir l'ordre légal, après la découverte du fait nouveau.</w:t>
      </w:r>
    </w:p>
    <w:p>
      <w:r>
        <w:rPr>
          <w:b/>
        </w:rPr>
        <w:t>E. 5.3</w:t>
      </w:r>
    </w:p>
    <w:p>
      <w:r>
        <w:t>En l'espèce, l'office intimé a alloué des prestations complémentaires après le 1er octobre 1992 parce qu'il ignorait l'existence d'un important capital déposé sur deux comptes bancaires qui ne sont venus à la connaissance de l'administration qu'après le décès du bénéficiaire de prestations. Or, la prise en compte de ce capital dans le revenu déterminant excluait tout droit à une prestation complémentaire. Dès lors qu'il s'agit indéniablement d'un fait important de nature à conduire à une appréciation juridique différente, mais qui a été découvert après coup, on est en présence d'un motif de révision procédurale ( ATF 122 V 138 consid. 2d et les arrêts cités). Dans ces circonstances, l'obligation de restituer les prestations complémentaires indûment perçues n'est pas liée à une violation de l'obligation de renseigner mais il s'agit simplement de rétablir l'ordre légal, après la découverte d'un fait nouveau. Par ailleurs, la juridiction cantonale était fondée à déclarer prescrites (recte : périmées [consid. 5.1 non publié de l'arrêt ATF 129 V 70 , 119 V 433 consid. 3a et les références]) les prestations complémentaires allouées avant le 19 juillet 1994, soit cinq ans avant la décision par laquelle l'OCPA a réclamé la restitution des prestations indûment perçues (art. 47 al. 2, première phrase, LAVS en liaison avec l' art. 27 al. 1 OPC-AVS/AI ).</w:t>
      </w:r>
    </w:p>
    <w:p>
      <w:r>
        <w:rPr>
          <w:b/>
        </w:rPr>
        <w:t>E. 6.1</w:t>
      </w:r>
    </w:p>
    <w:p>
      <w:r>
        <w:t>Selon l' art. 47 al. 1, seconde phrase, LAVS , applicable aux prestations complémentaires en vertu du renvoi prévu à l' art. 27 al. 1 OPC-AVS/AI , la restitution des prestations indûment perçues peut ne pas être demandée lorsque l'intéressé était de bonne foi et serait mis dans une situation difficile. Le jugement entrepris expose de manière exacte et complète la jurisprudence qui définit la bonne foi en tant que condition de la remise, ainsi que le principe régissant l'obligation de renseigner qui incombe à l'ayant droit et aux membres de sa famille ( art. 24 OPC-AVS/AI ). Il suffit donc d'y renvoyer.</w:t>
      </w:r>
    </w:p>
    <w:p>
      <w:r>
        <w:rPr>
          <w:b/>
        </w:rPr>
        <w:t>E. 6.2</w:t>
      </w:r>
    </w:p>
    <w:p>
      <w:r>
        <w:t>La juridiction cantonale a constaté, d'une manière qui lie le Tribunal fédéral des assurances, que la recourante n'avait pas informé l'OCPA de l'existence du capital déposé sur les deux comptes bancaires en question, quand bien même elle avait reçu en 1989 une procuration sur l'un desdits comptes bancaires et qu'elle avait signé, conjointement avec son mari, la demande de prestations complémentaires déposée le 22 août 1986. Cela suffit, selon les premiers juges, pour admettre l'existence d'une négligence grave et, partant, l'absence de bonne foi de la part de l'intéressée. Celle-ci ne remet pas en cause ces constatations de fait, mais allègue essentiellement qu'elle ne connaissait pas l'existence des comptes bancaires au moment où elle a signé la demande de prestations complémentaires, et qu'au surplus, elle ne recevait aucune information au sujet de l'état de ces comptes, du moment qu'elle n'en était pas la titulaire. Ces allégations ne sont pas de nature à mettre en cause le point de vue des premiers juges. La formule de demande de prestations complémentaires contient une rubrique aux termes de laquelle les soussignés s'engagent, dès le jour du dépôt de la requête, à annoncer immédiatement à l'OCPA « tout changement intervenant dans (leur) situation économique et personnelle ». En signant cette demande, la recourante a donc pris acte de son obligation de renseigner l'organe compétent de toute modification survenue. Si donc l'intéressée ne connaissait pas l'existence des comptes bancaires au moment de la signature de la demande, elle n'en avait pas moins l'obligation d'informer l'OCPA dès qu'elle a obtenu une procuration. Quand bien même la recourante, comme elle l'allègue, ne connaissait pas l'état du compte, elle n'ignorait pas que la « découverte » d'un tel compte constituait un changement important dans la situation économique du couple. Dès lors, l'omission d'en informer l'OCPA relève, sinon d'un comportement dolosif, pour le moins d'une négligence grave. Quant au grief que l'OCPA aurait dû faire montre de plus d'attention au sujet de la situation financière du couple après avoir découvert, en 1996, l'existence d'un bien immobilier qui n'avait pas été déclaré, il apparaît manifestement malvenu. Cela étant, la bonne foi de la recourante doit être niée, ce qui suffit pour exclure la remise de l'obligation de restituer. Dans la mesure où il est recevable, le recours se révèle ainsi mal fondé.</w:t>
      </w:r>
    </w:p>
    <w:p>
      <w:r>
        <w:rPr>
          <w:b/>
        </w:rPr>
        <w:t>E. 7</w:t>
      </w:r>
    </w:p>
    <w:p>
      <w:r>
        <w:t>Le litige concerne aussi bien l'obligation de restituer que la remise de l'obligation, de sorte que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