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88/01 vom 26. September 2001</w:t>
      </w:r>
    </w:p>
    <w:p>
      <w:r>
        <w:t>Bundesgericht, 2001-09-26, FR</w:t>
      </w:r>
    </w:p>
    <w:p>
      <w:r>
        <w:rPr>
          <w:b/>
        </w:rPr>
        <w:t xml:space="preserve">Quelle: </w:t>
      </w:r>
      <w:r>
        <w:t>https://mcp.opencaselaw.ch/entscheid/bger_K_88_01</w:t>
      </w:r>
    </w:p>
    <w:p>
      <w:r>
        <w:t>FR: TF K 88/01 du 26 septembre 2001</w:t>
      </w:r>
    </w:p>
    <w:p>
      <w:r>
        <w:t>IT: TF K 88/01 del 26 settembre 2001</w:t>
      </w:r>
    </w:p>
    <w:p>
      <w:pPr>
        <w:pStyle w:val="Heading2"/>
      </w:pPr>
      <w:r>
        <w:t>Regeste</w:t>
      </w:r>
    </w:p>
    <w:p>
      <w:r>
        <w:t>Assurance-maladie</w:t>
      </w:r>
    </w:p>
    <w:p>
      <w:pPr>
        <w:pStyle w:val="Heading2"/>
      </w:pPr>
      <w:r>
        <w:t>Erwägungen</w:t>
      </w:r>
    </w:p>
    <w:p>
      <w:r>
        <w:rPr>
          <w:b/>
        </w:rPr>
        <w:t>E. 1</w:t>
      </w:r>
    </w:p>
    <w:p>
      <w:r>
        <w:t>Le litige porte sur la contribution aux frais de transport à laquelle prétend l'intimée. Pour sa part, la recourante soutient que, dès lors que son assuré était décédé, le transport par ambulance n'était pas médicalement indiqué, de sorte qu'elle n'était pas tenue de prendre en charge les frais en résultant.</w:t>
      </w:r>
    </w:p>
    <w:p>
      <w:r>
        <w:rPr>
          <w:b/>
        </w:rPr>
        <w:t>E. 2</w:t>
      </w:r>
    </w:p>
    <w:p>
      <w:r>
        <w:t>Selon l' art. 25 al. 2 let . g LAMal, l'assurance obligatoire des soins prend en charge une contribution aux frais de transport médicalement nécessaires ainsi qu'aux frais de sauvetage. En vertu de l' art. 33 al. 2 LAMal , il appartient au Conseil fédéral de désigner en détail ces prestations. A l' art. 33 let . g OAMal, le Conseil fédéral, comme le permet l' art. 33 al. 5 LAMal , a délégué à son tour cette compétence au Département fédéral de l'intérieur (DFI). Le DFI a fait usage de cette délégation aux art. 26 (pour les frais de transport) et 27 (pour les frais de sauvetage) de l'ordonnance sur les prestations dans l'assurance obligatoire des soins en cas de maladie du 29 septembre 1995 (OPAS; RS 832. 112.31). Selon l' art. 26 OPAS , l'assurance prend en charge 50 pour cent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(al. 1). Le transport doit être effectué par un moyen qui corresponde aux exigences médicales du cas (al. 2).</w:t>
      </w:r>
    </w:p>
    <w:p>
      <w:r>
        <w:rPr>
          <w:b/>
        </w:rPr>
        <w:t>E. 3</w:t>
      </w:r>
    </w:p>
    <w:p>
      <w:r>
        <w:t>a) En l'espèce, l'état de santé de l'assuré, à la suite de son malaise soudain, ne pouvait pas laisser de doute sur la nécessité d'une intervention d'urgence, proche par ailleurs d'un sauvetage au sens de l' art. 27 OPAS . Il n'est pas contesté que, dans ce sens, au moment où il a été requis, le transport par ambulance se justifiait, voire s'imposait médicalement pour permettre la dispensation des soins nécessaires par les médecins et le personnel hospitalier. De même est-il constant qu'au moment où il a été fait appel à l'ambulance, A.________ était en vie, inconscient ou à demi-conscient. b) Cette situation se distingue ainsi, aussi bien d'une des hypothèses visées par la prise de position de l'OFAS du 13 septembre 1999, soit l'appel à une ambulance sans qu'une mesure médicale ou le transport du malade ne s'impose en définitive et du cas, évoqué par l'OFAS dans ses observations, où la personne à transporter est déjà décédée au moment de l'appel. c) En réalité, ce qui importe c'est que le transport soit requis - et nécessaire - en vue de dispenser des soins, et non pas que les soins aient été effectivement dispensés par la suite. En effet, si une telle exigence était posée, le risque découlant du décès susceptible de survenir jusqu'au moment du transport effectif, pendant le transport ou après le transport et jusqu'à la dispensation des premiers soins demeurerait, sans justification, à la charge de l'assuré. Or, de par leur nature, ces frais de transport commencent à courir dès leur mise en oeuvre et non dès la prise en charge de la personne malade ou accidentée. C'est pour ce motif que pour juger de la nécessité de ce moyen et de sa justification, il convient de se placer au moment où il a été fait appel à l'entreprise de transport (cf. dans ce sens en matière de sauvetage Gebhard Eugster, Krankenversicherung, in Schweizerisches Bundesverwaltungsrecht [SBVR], n. 148 sv., en particulier n. 151 au sujet de l'appréciation ex ante de la menace grave pour la santé ou pour la vie). Le jugement entrepris est dès lors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