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K_73/2003 vom 2. Februar 2005</w:t>
      </w:r>
    </w:p>
    <w:p>
      <w:r>
        <w:t>Bundesgericht, 2005-02-02, DE</w:t>
      </w:r>
    </w:p>
    <w:p>
      <w:r>
        <w:rPr>
          <w:b/>
        </w:rPr>
        <w:t xml:space="preserve">Quelle: </w:t>
      </w:r>
      <w:r>
        <w:t>https://mcp.opencaselaw.ch/entscheid/bger_K_73_2003</w:t>
      </w:r>
    </w:p>
    <w:p>
      <w:r>
        <w:t>FR: TF K_73/2003 du 2 février 2005</w:t>
      </w:r>
    </w:p>
    <w:p>
      <w:r>
        <w:t>IT: TF K_73/2003 del 2 febbraio 2005</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Einspracheentscheids (hier: 5. November 2002) eingetretenen Sachverhalt abstellt ( BGE 121 V 366 Erw. 1b), sind im vorliegenden Fall die bis zum 31. Dezember 2002 geltenden Bestimmungen anwendbar.</w:t>
      </w:r>
    </w:p>
    <w:p>
      <w:r>
        <w:rPr>
          <w:b/>
        </w:rPr>
        <w:t>E. 2</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zutreffend dargelegt. Darauf kann verwiesen werden.</w:t>
      </w:r>
    </w:p>
    <w:p>
      <w:r>
        <w:rPr>
          <w:b/>
        </w:rPr>
        <w:t>E. 3.1</w:t>
      </w:r>
    </w:p>
    <w:p>
      <w:r>
        <w:t>Was die Erkrankung der Zähne als Teil des Kausystems anbelangt, regelt Art. 17 lit. a KLV gestützt auf Art. 31 Abs. 1 lit. a KVG die Übernahme der Kosten der zahnärztlichen Behandlung in zwei Fällen, nämlich gemäss Ziff. 1 beim idiopathischen internen Zahngranulom und gemäss Ziff. 2 bei der Verlagerung und Überzahl von Zähnen und Zahnkeimen mit Krankheitswert (z.B. Abszess, Zyste).</w:t>
      </w:r>
    </w:p>
    <w:p>
      <w:r>
        <w:rPr>
          <w:b/>
        </w:rPr>
        <w:t>E. 3.2</w:t>
      </w:r>
    </w:p>
    <w:p>
      <w:r>
        <w:t>Das Eidgenössische Versicherungsgericht hat nach Einholen eines Grundsatzgutachtens mit Ergänzungsbericht vom 31. Oktober 2000/ 21. April 2001 - wie dies das kantonale Gericht zutreffend dargelegt hat - in seiner Rechtsprechung erkannt, dass der Krankheitswert gemäss Art. 17 lit. a KLV einen gegenüber dem allgemein definierten Begriff der Krankheit gemäss Art. 2 KVG qualifizierten Begriff darstellt, welchem Abgrenzungsfunktion zukommt, indem er die Behandlung nicht schwerer Erkrankungen der Zähne von der Leistungspflicht der sozialen Krankenversicherung ausschliesst. Was zunächst den Begriff der Verlagerung von Zähnen und Zahnkeimen anbelangt, hat das Gericht darin eine Abweichung von Lage und Achsenrichtung gesehen, wobei das Wort "und" - entgegen der Auffassung der Vorinstanz - nicht in dem Sinne verwendet worden ist, dass es kumulativ sowohl einer Abweichung von der Lage wie auch von der Achsenrichtung bedarf. Den qualifizierten Krankheitswert sieht das Gericht sodann in Übereinstimmung mit dem Grundsatzgutachten und dem Ergänzungsbericht bei der Dentition in Entwicklung - im Sinne eines Richtwertes bis zum 18. Altersjahr - in der Behinderung einer geordneten Gebissentwicklung oder in einem pathologischen Geschehen, bei bleibender Dentition in einem pathologischen Geschehen. Neben den in Art. 17 lit. a Ziff. 2 KLV in Klammern aufgeführten Beispielen des Abszesses und der Zyste hat das Gericht das Erfordernis des qualifizierten Krankheitswertes in Form von pathologischem Geschehen bei Erscheinungsformen als erfüllt gesehen, die erhebliche Schäden an den benachbarten Zähnen, am Kieferknochen und an benachbarten Weichteilen verursacht haben oder gemäss klinischem und allenfalls radiologischem Befund mit hoher Wahrscheinlichkeit verursachen werden. Bei in Entwicklung befindlicher Dentition ist der qualifizierte Krankheitswert auch gegeben, wenn verlagerte Zähne den Durchbruch benachbarter Zähne behindern oder verlagerte Zähne trotz Beseitigung von Durchbruchshindernissen und genügendem Platzangebot nicht durchbrechen können (vgl. BGE 127 V 328 und 391).</w:t>
      </w:r>
    </w:p>
    <w:p>
      <w:r>
        <w:rPr>
          <w:b/>
        </w:rPr>
        <w:t>E. 4.1</w:t>
      </w:r>
    </w:p>
    <w:p>
      <w:r>
        <w:t>Hinsichtlich der Übernahme der Kosten für zahnärztliche Behandlungen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w:t>
      </w:r>
    </w:p>
    <w:p>
      <w:r>
        <w:t>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 BGE 130 V 468 Erw. 4.1). So haben auch die Experten den qualifizierten Krankheitswert verneint, wenn ein pathologisches Geschehen mit einfachen Massnahmen behoben werden kann.</w:t>
      </w:r>
    </w:p>
    <w:p>
      <w:r>
        <w:rPr>
          <w:b/>
        </w:rPr>
        <w:t>E. 4.2</w:t>
      </w:r>
    </w:p>
    <w:p>
      <w:r>
        <w:t>Im oben zitierten Urteil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130 V 469 Erw. 4.2 mit Hinweis).</w:t>
      </w:r>
    </w:p>
    <w:p>
      <w:r>
        <w:rPr>
          <w:b/>
        </w:rPr>
        <w:t>E. 4.3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 zu erhalten.</w:t>
      </w:r>
    </w:p>
    <w:p>
      <w:r>
        <w:rPr>
          <w:b/>
        </w:rPr>
        <w:t>E. 4.4</w:t>
      </w:r>
    </w:p>
    <w:p>
      <w:r>
        <w:t>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4.5</w:t>
      </w:r>
    </w:p>
    <w:p>
      <w:r>
        <w:t>Die versicherte Person und der sie behandelnde Arzt haben dem Krankenversicherer alle medizinischen Grundlagen dafür zu liefern, dass er die Voraussetzungen für die Leistungspflicht prüfen kann. Werden gleichzeitig mehrere Weisheitszähne entfernt, ist der Nachweis für jeden Weisheitszahn zu erbringen ( BGE 130 V 470 Erw. 5 mit Hinweis).</w:t>
      </w:r>
    </w:p>
    <w:p>
      <w:r>
        <w:rPr>
          <w:b/>
        </w:rPr>
        <w:t>E. 5.1</w:t>
      </w:r>
    </w:p>
    <w:p>
      <w:r>
        <w:t>Dr. med. Dr. med. dent. S.________ diagnostizierte im Zahnschadenformular vom 17. Dezember 1999 pericoronale Infekte bei verlagerten Weisheitszähnen. In den nachfolgenden Berichten umschrieb er den Krankheitswert als rezidivierende pericoronale Infekte, follikuläre Zysten, ausstrahlende Schmerzen durch Druck der auf den Mandibularkanal wachsenden Wurzeln der infolge ihrer gekippten Lage eingeklemmten, am weiteren Durchbruch gestoppten verlagerten unteren Weisheitszähne, Denudierung von Zahnhals und Wurzeln der angrenzenden Zähne im Ober- und Unterkiefer sowie drohender Engstandbildung in der Unterkieferfront bei einem weiteren Durchbruch der unteren Weisheitszähne im Sinne einer Störung der Gebissentwicklung.</w:t>
      </w:r>
    </w:p>
    <w:p>
      <w:r>
        <w:rPr>
          <w:b/>
        </w:rPr>
        <w:t>E. 5.2</w:t>
      </w:r>
    </w:p>
    <w:p>
      <w:r>
        <w:t>Nach Beizug des Vertrauenszahnarztes Dr. med. dent. M.________ und Einholung eines Gutachtens des Dr. med. dent. P.________ verneinte die SWICA das Vorliegen einer Pflichtleistung im Sinne von Art. 31 KVG in Verbindung mit Art. 17-19 KLV . Insbesondere seien die vier Weisheitszähne nach übereinstimmender Beurteilung der beigezogenen Experten nicht verlagert.</w:t>
      </w:r>
    </w:p>
    <w:p>
      <w:r>
        <w:rPr>
          <w:b/>
        </w:rPr>
        <w:t>E. 5.3</w:t>
      </w:r>
    </w:p>
    <w:p>
      <w:r>
        <w:t>Die Vorinstanz würdigte die verschiedenen medizinischen Berichte und kam zum Schluss, dass eine Verlagerung im Sinne einer Abweichung von Platz und Achsenrichtung bei allen vier Weisheitszähnen zu verneinen sei, sodass die Frage des qualifizierten Krankheitswertes offen gelassen werden könne.</w:t>
      </w:r>
    </w:p>
    <w:p>
      <w:r>
        <w:rPr>
          <w:b/>
        </w:rPr>
        <w:t>E. 5.4</w:t>
      </w:r>
    </w:p>
    <w:p>
      <w:r>
        <w:t>Was zunächst die Verlagerung der Weisheitszähne anbelangt, ergibt sich aus den Akten kein einheitliches Bild. Dr. med. Dr. med. dent. S.________ bezeichnet die Verlagerung aller vier Weisheitszähne als deutlich ausgeprägt. Bei den oberen Weisheitszähnen 18 und 28 sei das Wurzelwachstum abgeschlossen und die Wurzeln reichten bis in die Kieferhöhle. Die unteren Weisheitszähne 38 und 48 seien stark gekippt und impaktiert. Sie lägen nach distal in den aufsteigenden Unterkieferast verlagert und somit ausserhalb des zahntragenden Alveolarkammes. Der Vertrauenszahnarzt Dr. med. dent. M.________ hält in seiner Stellungnahme vom 3. Januar 2000 fest, das Wachstum aller vier Weisheitszähne sei noch nicht abgeschlossen und die Zähne seien nicht verlagert. Der beigezogene Experte Dr. med. dent. P.________ schliesslich geht in seinem Gutachten vom 18. September 2002 ebenfalls davon aus, dass keine Verlagerungen vorlägen. Es handle sich um Weisheitszähne in Entwicklung, mit dem Patientenalter übereinstimmend und in einer Position, die durchaus noch Chancen zum Durchbruch hätten.</w:t>
      </w:r>
    </w:p>
    <w:p>
      <w:r>
        <w:t>In Bezug auf die oberen Weisheitszähne 18 und 28 muss die Frage der Verlagerung nicht abschliessend beantwortet werden, weil die Pathologie und die notwendigen Massnahmen zu deren Beseitigung oder Verringerung für das Vorliegen des gemäss Art. 17 lit. a Ziff. 2 KLV erforderlichen qualifizierten Krankheitswertes nicht ausreichen. Selbst wenn die durch den behandelnden Arzt bezüglich der oberen Weisheitszähne geltend gemachte Pathologie der pericoronalen Infekte, follikulären Zysten sowie Denudierung von Zahnhals und Wurzeln der angrenzenden Zähne bis in den Apexbereich vorhanden war, hielt sie sich im üblichen Rahmen und konnte durch die Entfernung der Weisheitszähne behoben werden, ohne dass ein Ersatz der entfernten Zähne oder andere aufwändige Massnahmen notwendig geworden wären. Der vom Vater der Beschwerdeführerin in der Verwaltungsgerichtsbeschwerde als Krankheitswert geltend gemachte stark störende Spasmus der Augenmuskeln links gehört nicht zu den in Art. 17-19 KLV abschliessend aufgezählten Erkrankungen, die eine von der obligatorischen Krankenpflegeversicherung zu übernehmende zahnärztliche Behandlung bedingen. Der Spasmus wird zudem vom behandelnden Arzt gar nicht erwähnt und kann nicht als erwiesen gelten. Schliesslich fehlen jegliche Anhaltspunkte für irgendwelche Schwierigkeiten oder besondere Komplikationen bei der Entfernung der oberen Weisheitszähne, sodass in Anbetracht der Rechtsprechung die Voraussetzungen für eine diesbezügliche Leistungspflicht der obligatorischen Krankenpflegeversicherung nicht erfüllt sind.</w:t>
      </w:r>
    </w:p>
    <w:p>
      <w:r>
        <w:t>Anders präsentiert sich die Situation bezüglich der unteren Weisheitszähne 38 und 48. Bei der im Zeitpunkt der Behandlung 19-jährigen Versicherten gehen sowohl der behandelnde Arzt wie auch die beigezogenen Experten von einer Dentition in Entwicklung aus. Neben der üblichen Pathologie macht Dr. med. Dr. med. dent. S.________ geltend, mangels Platz für die unteren Weisheitszähne in der Zahnreihe käme es bei einem weiteren Durchbruch zu einer Engstandbildung in der Unterkieferfront im Sinne einer Störung der Gebissentwicklung. Erschwerend ist dabei der Umstand, dass die reguläre Entwicklung der Dentition besonders anfällig war, weil die Beschwerdeführerin in kieferorthopädischer Behandlung stand und im Frontbereich des Unterkiefers einen Retainer trug. Damit ist - wie in Erwägung 3.2 dargelegt - das Erfordernis des qualifizierten Krankheitswertes in Form der Behinderung einer geordneten Gebissentwicklung trotz des sich im Rahmen haltenden Behandlungsaufwandes erfüllt. Nicht nachgewiesen ist die Notwendigkeit des Beizugs eines Assistenten, bestehen doch auch bezüglich Behandlung der unteren Weisheitszähne keine Anhaltspunkte für irgendwelche Schwierigkeiten oder besondere Komplikationen. Die Sache ist an die Vorinstanz zurückzuweisen, damit sie zur Frage der Verlagerung der Zähne 38 und 48 als erster Voraussetzung der Leistungspflicht der obligatorischen Krankenpflegeversicherung ein Obergutachten einhole und anschliessend über den Anspruch der Beschwerdeführerin auf Übernahme der Behandlungskosten für die beiden unteren Weisheitszähne neu entscheide. Bejaht das kantonale Gericht aufgrund des einzuholenden Obergutachtens eine diesbezügliche Leistungspflicht der Krankenversicherung, hat es abzuklären, welcher Anteil der gestellten Rechnungen unter Nichtberücksichtigung der Assistenzkosten auf die Behandlung der unteren Weisheitszähne entfällt, und die Leistungspflicht im neuen Entscheid auch masslich festzulegen.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