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6/04 vom 11. Januar 2005</w:t>
      </w:r>
    </w:p>
    <w:p>
      <w:r>
        <w:t>Bundesgericht, 2005-01-11, FR</w:t>
      </w:r>
    </w:p>
    <w:p>
      <w:r>
        <w:rPr>
          <w:b/>
        </w:rPr>
        <w:t xml:space="preserve">Quelle: </w:t>
      </w:r>
      <w:r>
        <w:t>https://mcp.opencaselaw.ch/entscheid/bger_K_6_04</w:t>
      </w:r>
    </w:p>
    <w:p>
      <w:r>
        <w:t>FR: TF K 6/04 du 11 janvier 2005</w:t>
      </w:r>
    </w:p>
    <w:p>
      <w:r>
        <w:t>IT: TF K 6/04 del 11 gennaio 2005</w:t>
      </w:r>
    </w:p>
    <w:p>
      <w:pPr>
        <w:pStyle w:val="Heading2"/>
      </w:pPr>
      <w:r>
        <w:t>Regeste</w:t>
      </w:r>
    </w:p>
    <w:p>
      <w:r>
        <w:t>Assurance-maladie | Assurance-maladie</w:t>
      </w:r>
    </w:p>
    <w:p>
      <w:pPr>
        <w:pStyle w:val="Heading2"/>
      </w:pPr>
      <w:r>
        <w:t>Erwägungen</w:t>
      </w:r>
    </w:p>
    <w:p>
      <w:r>
        <w:rPr>
          <w:b/>
        </w:rPr>
        <w:t>E. 1</w:t>
      </w:r>
    </w:p>
    <w:p>
      <w:r>
        <w:t>En vertu de l' art. 24 LAMal , l'assurance obligatoire des soins prend en charge le coût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 art. 25 al. 2 let. a LAMal ) et le séjour en division commune d'un hôpital ( art. 25 al. 2 let . e LAMal; en ce qui concerne l'hospitalisation non volontaire voir ATF 106 V 179 , confirmé dans RAMA 1986 no K 680 p. 233 consid. 2b).</w:t>
      </w:r>
    </w:p>
    <w:p>
      <w:r>
        <w:rPr>
          <w:b/>
        </w:rPr>
        <w:t>E. 2</w:t>
      </w:r>
    </w:p>
    <w:p>
      <w:r>
        <w:t>L'obligation pour les assureurs-maladie d'allouer des prestations en cas de traitement hospitalier suppose l'existence d'une maladie qui exige un traitement pour soins aigus ou des mesures médicales de réadaptation en milieu hospitalier ( art. 39 al. 1 LAMal ). La condition du besoin d'hospitalisation est donnée, d'une part si les mesures diagnostiques et thérapeutiques nécessaires ne peuvent être pratiquées de manière appropriées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 ATF 126 V 326 consid. 2b).</w:t>
      </w:r>
    </w:p>
    <w:p>
      <w:r>
        <w:rPr>
          <w:b/>
        </w:rPr>
        <w:t>E. 3</w:t>
      </w:r>
    </w:p>
    <w:p>
      <w:r>
        <w:t>En l'espèce, l'hospitalisation du recourant a été ordonnée par le docteur H.________ pour traiter une maladie psychique (troubles de l'adaptation avec perturbation mixte des émotions et des conduites, F43.25). La nécessité de cette mesure ressort tant du rapport annexé à la demande d'admission non volontaire que de la décision du 12 octobre 2001 du conseil de surveillance psychiatrique, entrée en force. Dès lors que la caisse intimée a pris en charge, sans en contester l'obligation, les frais relatifs à l'hospitalisation en cause conformément aux art. 25-31 LAMal , elle était fondée à réclamer à l'assuré la participation aux coûts au sens de l' art. 64 al. 1 et 2 LAMal (cf. pour un cas analogue arrêt S. du 16 avril 2002, K 134/00, consid. 3b). Dans la mesure où le montant de la facture de la Clinique X.________ est inférieur à celui de la franchise contractuelle, c'est à juste titre qu'elle a mis le coût total de l'hospitalisation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