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66/02 vom 17. August 2004</w:t>
      </w:r>
    </w:p>
    <w:p>
      <w:r>
        <w:t>Bundesgericht, 2004-08-17, DE</w:t>
      </w:r>
    </w:p>
    <w:p>
      <w:r>
        <w:rPr>
          <w:b/>
        </w:rPr>
        <w:t xml:space="preserve">Quelle: </w:t>
      </w:r>
      <w:r>
        <w:t>https://mcp.opencaselaw.ch/entscheid/bger_K_66_02</w:t>
      </w:r>
    </w:p>
    <w:p>
      <w:r>
        <w:t>FR: TF K 66/02 du 17 août 2004</w:t>
      </w:r>
    </w:p>
    <w:p>
      <w:r>
        <w:t>IT: TF K 66/02 del 17 agosto 2004</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2</w:t>
      </w:r>
    </w:p>
    <w:p>
      <w:r>
        <w:t>Streitigkeiten zwischen Versicherern und Leistungserbringern entscheidet gemäss Art. 89 Abs. 1 KVG ein (kantonales) Schiedsgericht. Diese Bestimmung über die Zuständigkeit des Schiedsgerichtes geht als lex specialis derjenigen über das kantonale Versicherungsgericht ( Art. 86 Abs. 1 KVG in der hier anwendbaren, bis zum 31. Dezember 2002 in Kraft gewesenen Fassung; BGE 127 V 467 Erw. 1, 121 V 366 Erw. 1b) vor (Maurer, Das neue Krankenversicherungsrecht, S. 172; Eugster, Krankenversicherung, in: Schweizerisches Bundesverwaltungsrecht [SBVR], Soziale Sicherheit, S. 233 Rz 415; vgl. zum alten Recht BGE 121 V 314 Erw. 2b, 116 V 128 Erw. 2c mit Hinweis).</w:t>
      </w:r>
    </w:p>
    <w:p>
      <w:r>
        <w:rPr>
          <w:b/>
        </w:rPr>
        <w:t>E. 3</w:t>
      </w:r>
    </w:p>
    <w:p>
      <w:r>
        <w:t>Gesetz (KVG) und Verordnung (KVV) umschreiben nicht näher, was unter Streitigkeiten im Sinne von Art. 89 Abs. 1 KVG zu verstehen ist. Nach Rechtsprechung (RKUV 2001 Nr. KV 166 S. 243 Erw. 3b/aa mit Hinweis) und Lehre (Maurer, a.a.O., S. 172; Eugster, a.a.O., S. 232 Rz 413) setzt die sachliche Zuständigkeit des Schiedsgerichtes voraus, dass die Streitigkeit Rechtsbeziehungen zum Gegenstand hat, die sich aus dem KVG ergeben oder aufgrund des KVG eingegangen worden sind. Der Streitgegenstand muss die besondere Stellung der Versicherer oder Leistungserbringer im Rahmen des KVG betreffen.</w:t>
      </w:r>
    </w:p>
    <w:p>
      <w:r>
        <w:rPr>
          <w:b/>
        </w:rPr>
        <w:t>E. 4</w:t>
      </w:r>
    </w:p>
    <w:p>
      <w:r>
        <w:t>Streitig und zu prüfen ist vorab die Zuständigkeit des Schiedsgerichtes zur Beurteilung des vom Beschwerdeführer gestellten Hauptantrages auf Vergütung der Kosten der medizinischen Behandlung.</w:t>
      </w:r>
    </w:p>
    <w:p>
      <w:r>
        <w:rPr>
          <w:b/>
        </w:rPr>
        <w:t>E. 4.1</w:t>
      </w:r>
    </w:p>
    <w:p>
      <w:r>
        <w:t>Ein Versicherer und ein Leistungserbringer stehen sich vorliegend einzig deshalb gegenüber, weil K.________ seine gegen die Helsana gerichtete Forderung auf Vergütung der Kosten der Behandlung gemäss Rechnung vom 4. Oktober 2001 an Dr. med. M.________ abgetreten hat (was ohne weiteres zulässig war: vgl. dazu auch RKUV 2001 Nr. KV 194 S. 523). Hätte K.________ die Forderung nicht abgetreten, sondern selber den Rechtsweg beschritten, wäre das kantonale Sozialversicherungsgericht im Sinne von Art. 86 Abs. 1 KVG für die Beurteilung der Streitigkeit zuständig gewesen. Es stellt sich daher die Frage, ob ein grundsätzlich der Sozialversicherungsgerichtsbarkeit im Sinne von Art. 86 Abs. 1 KVG unterliegender Rechtsstreit zwischen einem Versicherten und einem Leistungserbringer aufgrund der Abtretung der ihm zugrunde liegenden Forderung vom Versicherten an den Leistungserbringer und des damit verbundenen Gläubigerwechsels zu einer dem Schiedsgericht gemäss Art. 89 Abs. 1 KVG zu unterbreitenden Streitigkeit wird.</w:t>
      </w:r>
    </w:p>
    <w:p>
      <w:r>
        <w:rPr>
          <w:b/>
        </w:rPr>
        <w:t>E. 4.2</w:t>
      </w:r>
    </w:p>
    <w:p>
      <w:r>
        <w:t>Die Regeln über die Forderungsabtretung gemäss Art. 164 ff. OR finden im Bereich der Krankenversicherung sinngemäss Anwendung (vgl. auch BGE 127 V 439 ). Danach gilt, dass die Abtretung an der Rechtsnatur der Forderung nichts ändert und diese mit all ihren Befugnissen, Vorzügen und Schwächen sowie all ihren Nebenrechten und mit ihren Belastungen auf den Erwerber übergeht (Gauch/Spirig, Zürcher Kommentar, 3. Aufl., Vorbemerkungen zu Art. 167-173 OR , N. 5 und 7 mit Hinweisen; von Tuhr/Escher, Allgemeiner Teil des Schweizerischen Obligationenrechts, Bd. II, 3. Aufl., S. 364). Mit anderen Worten tritt der Zessionar in die Rechte des Zedenten ein, namentlich auch in jene verfahrensmässiger Natur. Aus diesem Grunde bleibt die Abtretung denn auch ohne Einfluss auf die Zuständigkeit der für die Beurteilung entsprechender Streitigkeiten vorgesehenen Gerichte (vgl. BGE 111 Ib 155 Erw. 1d; nicht veröffentlichtes Urteil Le Consortium X. vom 1. Februar 1996, 2P.403/1994, Erw. 3c; vgl. auch Nussbaumer, Arbeitslosenversicherung, in: Schweizerisches Bundesverwaltungsrecht [SBVR], S. 141 Rz 369 mit Hinweisen).</w:t>
      </w:r>
    </w:p>
    <w:p>
      <w:r>
        <w:rPr>
          <w:b/>
        </w:rPr>
        <w:t>E. 4.3</w:t>
      </w:r>
    </w:p>
    <w:p>
      <w:r>
        <w:t>Da nach dem Gesagten K.________ die gegen die Helsana gerichtete Forderung beim kantonalen Sozialversicherungsgericht hätte geltend machen müssen und die Abtretung der Forderung an der Zuständigkeit desselben zur Beurteilung der Streitigkeit nichts ändert, ist das Schiedsgericht zu Recht nicht auf die von Dr. med. M.________ gegen die Helsana gerichtete Klage auf Vergütung der Behandlungskosten eingetreten.</w:t>
      </w:r>
    </w:p>
    <w:p>
      <w:r>
        <w:rPr>
          <w:b/>
        </w:rPr>
        <w:t>E. 5</w:t>
      </w:r>
    </w:p>
    <w:p>
      <w:r>
        <w:t>Zu prüfen bleibt die Zuständigkeit des Schiedsgerichtes zur Beurteilung des vom Beschwerdeführer gestellten Eventualantrages auf Feststellung, seine Nichtberücksichtigung auf der Asyl-Hausarztliste sei rechtswidrig. Nach der sinngemäss anwendbaren Rechtsprechung zu Art. 5 Abs. 1 lit. b und Art. 25 VwVG ist der Erlass einer Feststellungsverfügung zulässig, wenn ein schutzwürdiges, mithin rechtliches oder tatsächliches und aktuelles Interesse an der sofortigen Feststellung des Bestehens oder Nichtbestehens eines Rechtsverhältnisses nachgewiesen ist, dem keine erheblichen öffentlichen oder privaten Interessen entgegenstehen, und wenn dieses schutzwürdige Interesse nicht durch eine rechtsgestaltende Verfügung gewahrt werden kann ( BGE 128 V 48 Erw. 3a, 125 V 24 Erw. 1b, 121 V 317 Erw. 4a). Ein Interesse des Beschwerdeführers an der Feststellung, seine Nichtberücksichtigung auf der Asyl-Hausarztliste sei rechtswidrig, ist zu bejahen, dies nicht nur mit Blick auf die (möglicherweise fortdauernde) Behandlung des Patienten K.________, sondern auch im Hinblick auf allfällige Behandlungen anderer fürsorgeabhängiger Asylsuchender. Einer Feststellungsklage steht indessen entgegen, dass dieses Interesse durch Erlass einer rechtsgestaltenden Verfügung gewahrt werden kann (vgl. BGE 121 V 319 Erw. 4c; RKUV 2001 Nr. KV 166 S. 246 Erw. 4), steht es doch dem Beschwerdeführer offen, beim Schiedsgericht eine Klage auf Aufnahme in die Asyl-Hausarztliste einzureichen. Entgegen der im angefochtenen Entscheid vertretenen Auffassung läge dieser Gestaltungsklage eine die besonderen Rechtsbeziehungen zwischen einem Arzt als Leistungserbringer und einem Versicherer betreffende Streitigkeit zugrunde und könnte das Schiedsgericht seine Zuständigkeit nicht mit der Begründung ablehnen, es gehe um Rechtsbeziehungen aus einem gestützt auf Art. 41 Abs. 4 KVG geschlossenen Kollektivversicherungsvertrag (welche Vertragsart im Übrigen gemäss KVG nur noch in der Krankentaggeldversicherung, nicht aber in der vorliegend betroffenen Krankenpflegeversicherung zulässig ist; vgl. Art. 67 Abs. 3 KVG ). Im Ergebnis ist der vorinstanzliche Nichteintretensentscheid somit auch in diesem Punkt nicht zu beanstanden.</w:t>
      </w:r>
    </w:p>
    <w:p>
      <w:r>
        <w:rPr>
          <w:b/>
        </w:rPr>
        <w:t>E. 6</w:t>
      </w:r>
    </w:p>
    <w:p>
      <w:r>
        <w:t>Da es nicht um die Bewilligung oder Verweigerung von Versicherungsleistungen, sondern um eine prozessrechtliche Frage geht, ist das Verfahren kostenpflichtig ( Art. 134 OG e contrario). Dem Prozessausgang entsprechend hat der Beschwerdeführer die Gerichtskosten zu tragen (Art. 156 Abs. 1 Verbindung mit Art. 135 OG ). Eine Parteientschädigung wird nicht zugesprochen, weil die obsiegende Beschwerdegegnerin als Krankenversicherer eine öffentlich-rechtliche Aufgabe im Sinne von Art. 159 Abs. 2 OG wahrnimmt und die Voraussetzungen für eine ausnahmsweise Zusprechung einer Entschädigung nicht gegeben sind ( BGE 128 V 133 Erw. 5b, 123 V 309 Erw. 10; SVR 2000 KV Nr. 39 S. 122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