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61/03 vom 8. Februar 2005</w:t>
      </w:r>
    </w:p>
    <w:p>
      <w:r>
        <w:t>Bundesgericht, 2005-02-08, DE</w:t>
      </w:r>
    </w:p>
    <w:p>
      <w:r>
        <w:rPr>
          <w:b/>
        </w:rPr>
        <w:t xml:space="preserve">Quelle: </w:t>
      </w:r>
      <w:r>
        <w:t>https://mcp.opencaselaw.ch/entscheid/bger_K_61_03</w:t>
      </w:r>
    </w:p>
    <w:p>
      <w:r>
        <w:t>FR: TF K 61/03 du 8 février 2005</w:t>
      </w:r>
    </w:p>
    <w:p>
      <w:r>
        <w:t>IT: TF K 61/03 del 8 febbraio 2005</w:t>
      </w:r>
    </w:p>
    <w:p>
      <w:pPr>
        <w:pStyle w:val="Heading2"/>
      </w:pPr>
      <w:r>
        <w:t>Regeste</w:t>
      </w:r>
    </w:p>
    <w:p>
      <w:r>
        <w:t>Krankenversicherung | 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4. Oktober 2002)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 BGE 130 V 467 Erw. 3.2 mit Hinweisen) und über den abschliessenden Charakter der Aufzählung der in Art. 17 bis 19a KLV erwähnten Erkrankungen, welche von der obligatorischen Krankenpflegeversicherung zu übernehmende zahnärztliche Behandlungen bedingen ( BGE 129 V 83 Erw. 1.3 und 279 Erw. 3.2).</w:t>
      </w:r>
    </w:p>
    <w:p>
      <w:r>
        <w:rPr>
          <w:b/>
        </w:rPr>
        <w:t>E. 3.1</w:t>
      </w:r>
    </w:p>
    <w:p>
      <w:r>
        <w:t>Was die Leistungspflicht der obligatorischen Krankenpflegeversicherung für zahnärztliche Behandlungen, die durch eine schwere nicht vermeidbare Erkrankung des Kausystems bedingt sind, anbelangt,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 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3.2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3.3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3.4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3.5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4</w:t>
      </w:r>
    </w:p>
    <w:p>
      <w:r>
        <w:t>Die Beschwerdegegnerin hat die Behandlungskosten der beiden oberen Weisheitszähne 18 und 28 als Pflichtleistung der obligatorischen Krankenpflegeversicherung anerkannt. Streitig und zu prüfen ist vorliegend noch die Leistungspflicht für die Behandlung der beiden unteren Weisheitszähne 38 und 48.</w:t>
      </w:r>
    </w:p>
    <w:p>
      <w:r>
        <w:rPr>
          <w:b/>
        </w:rPr>
        <w:t>E. 4.1</w:t>
      </w:r>
    </w:p>
    <w:p>
      <w:r>
        <w:t>Dr. med. Dr. med. dent. C.________ diagnostizierte im Zahnschadenformular vom 10. Dezember 2001 pericoronale Infekte und follikuläre Zysten mit chronischer Entzündung bei verlagerten Weisheitszähnen. In den nachfolgenden Berichten erwähnte er bezüglich Krankheitswert ergänzend eine Verschiebung der angrenzenden Zähne mit Engstandbildung in der Unterkieferfront. Zudem stehe die Versicherte wegen Multipler Sklerose in Behandlung mit Interferon. Eine negative Beeinflussung aufgrund der chronisch rezidivierenden pericoronalen Infekte sei sowohl bezüglich MS-Schüben wie Interferonbehandlung gegeben.</w:t>
      </w:r>
    </w:p>
    <w:p>
      <w:r>
        <w:rPr>
          <w:b/>
        </w:rPr>
        <w:t>E. 4.2</w:t>
      </w:r>
    </w:p>
    <w:p>
      <w:r>
        <w:t>Nach Beizug des Vertrauenszahnarztes Dr. med. dent. H.________ und des Dr. med. Dr. med. dent. L.________ lehnte die Visana eine Übernahme der Behandlungskosten für die unteren Weisheitszähne ab, im Wesentlichen mit der Begründung, die Voraussetzungen der Art. 17 lit. a Ziff. 2 KLV und Art. 19 KLV seien nicht erfüllt, da es einerseits am in Art. 17 lit. a Ziff. 2 KLV geforderten schweren Krankheitswert fehle und andrerseits die Multiple Sklerose in Art. 19 KLV nicht erwähnt sei.</w:t>
      </w:r>
    </w:p>
    <w:p>
      <w:r>
        <w:rPr>
          <w:b/>
        </w:rPr>
        <w:t>E. 4.3</w:t>
      </w:r>
    </w:p>
    <w:p>
      <w:r>
        <w:t>Die Vorinstanz würdigte die verschiedenen medizinischen Berichte und kam zum Schluss, dass die in Art. 17 lit. a Ziff. 2 KLV statuierte Voraussetzung des qualifizierten Krankheitswertes bei den unteren Weisheitszähnen nicht erfüllt sei, weshalb die Frage der Verlagerung dieser Zähne offen bleiben könne.</w:t>
      </w:r>
    </w:p>
    <w:p>
      <w:r>
        <w:rPr>
          <w:b/>
        </w:rPr>
        <w:t>E. 4.4</w:t>
      </w:r>
    </w:p>
    <w:p>
      <w:r>
        <w:t>Was zunächst die Frage einer Leistungspflicht gestützt auf Art. 17 lit. a Ziff. 2 KLV anbelangt, ergibt sich aus den Akten bezüglich der ersten Voraussetzung der Verlagerung der betroffenen Zähne kein einheitliches Bild. Dr. med. Dr. med. dent. C.________ geht von einer durch Impaktion verursachten deutlich ausgeprägten Verlagerung der Weisheitszähne 38 und 48 aus. Die Abweichung ad axim und ad longitudinem bezeichnet er als relativ gering, diejenige ad latum jedoch als ausgeprägt gegen den aufsteigenden Ast, deutlich dorsal der Tangente an den Vorderrand des aufsteigenden Unterkieferastes und somit weit ausserhalb der adhärenten Gingiva. Dr. med. dent. H.________ hält die Zähne 38 und 48 für dem Alter entsprechend normal stehend und die Chance zum Durchbruch für durchaus gegeben. Dr. med. Dr. med. dent. L.________ schliesslich bezeichnet die beiden betroffenen Zähne als achsengerecht leicht retiniert und distal in den aufsteigenden Ast verkeilt, so dass ein vollständiger Durchbruch nicht erwartet werden könne. Die Frage der Verlagerung der unteren Weisheitszähne muss indessen nicht abschliessend beantwortet werden, weil die Pathologie und die notwendigen Massnahmen zu deren Beseitigung oder Verringerung für das Vorliegen des gemäss Art. 17 lit. a Ziff. 2 KLV erforderlichen qualifizierten Krankheitswertes nicht ausreichen. Die Behandlung bestand im Wesentlichen in der Entfernung der Weisheitszähne sowie in einer Konsultation vor und drei Konsultationen nach dem Eingriff. Bezüglich Krankheitswert der Zähne 38 und 48 macht der behandelnde Arzt neben den üblichen Erscheinungen der rezidivierenden pericoronalen Infekte und der follikulären Zysten eine beginnende Engstandbildung in der Unterkieferfront geltend. Dr. med. dent. H.________ verneint das Vorliegen eines Krankheitswertes, Dr. med. Dr. med. dent. L.________ hält die Gefahr eines pathologischen Geschehens im Sinne einer drohenden Behinderung der Gebissentwicklung oder Resorption der Nachbarwurzeln für nicht gegeben. Selbst wenn die vom behandelnden Arzt geltend gemachte Pathologie vorhanden war, konnte sie durch die Entfernung der Weisheitszähne behoben werden, ohne dass ein Ersatz der entfernten Zähne oder andere aufwändige Massnahmen notwendig geworden wären. Auch fehlen jegliche Anhaltspunkte für irgendwelche Schwierigkeiten oder besondere Komplikationen bei der Entfernung der Weisheitszähne, sodass in Anbetracht der Rechtsprechung die Voraussetzungen für eine diesbezügliche Leistungspflicht der obligatorischen Krankenpflegeversicherung nicht erfüllt sind.</w:t>
      </w:r>
    </w:p>
    <w:p>
      <w:r>
        <w:rPr>
          <w:b/>
        </w:rPr>
        <w:t>E. 4.5</w:t>
      </w:r>
    </w:p>
    <w:p>
      <w:r>
        <w:t>Soweit Dr. med. Dr. med. dent. C.________ schliesslich geltend macht, der Krankheitswert der entfernten Weisheitszähne habe in der negativen Beeinflussung der Interferonbehandlung bei Multipler Sklerose gelegen, stellt sich die Frage der Leistungspflicht der obligatorischen Krankenpflegeversicherung für zahnärztliche Behandlungen, die zur Unterstützung und Sicherstellung ärztlicher Behandlungen notwendig sind. Diesbezüglich ist darauf hinzuweisen, dass - wie in Erwägung 2 erwähnt - gemäss ständiger Rechtsprechung die Allgemeinerkrankungen, bei denen zahnärztliche Behandlungen zur Unterstützung und Sicherstellung der ärztlichen Behandlungen von der obligatorischen Krankenpflegeversicherung zu übernehmen sind, in Art. 19 KLV abschliessend aufgezählt sind und weder die Multiple Sklerose noch die Interferonbehandlung dort genannt ist. Eine Leistungspflicht der obligatorischen Krankenpflegeversicherung für die Behandlung der beiden unteren Weisheitszähne wurde demzufolge auch unter diesem Gesichtspunkt zu Recht verneint.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