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K_52/2000 vom 16. Oktober 2000</w:t>
      </w:r>
    </w:p>
    <w:p>
      <w:r>
        <w:t>Bundesgericht, 2000-10-16, DE</w:t>
      </w:r>
    </w:p>
    <w:p>
      <w:r>
        <w:rPr>
          <w:b/>
        </w:rPr>
        <w:t xml:space="preserve">Quelle: </w:t>
      </w:r>
      <w:r>
        <w:t>https://mcp.opencaselaw.ch/entscheid/bger_K_52_2000</w:t>
      </w:r>
    </w:p>
    <w:p>
      <w:r>
        <w:t>FR: TF K_52/2000 du 16 octobre 2000</w:t>
      </w:r>
    </w:p>
    <w:p>
      <w:r>
        <w:t>IT: TF K_52/2000 del 16 ottobre 2000</w:t>
      </w:r>
    </w:p>
    <w:p>
      <w:pPr>
        <w:pStyle w:val="Heading2"/>
      </w:pPr>
      <w:r>
        <w:t>Erwägungen</w:t>
      </w:r>
    </w:p>
    <w:p>
      <w:r>
        <w:rPr>
          <w:b/>
        </w:rPr>
        <w:t>E. 1</w:t>
      </w:r>
    </w:p>
    <w:p>
      <w:r>
        <w:t>Da den drei Verwaltungsgerichtsbeschwerden jeweils ein ähnlicher Sachverhalt zu Grunde liegt und sich die gleichen Rechtsfragen stellen, sind die drei Verfahren antragsgemäss zu vereinigen und in einem einzigen Urteil zu erledigen (vgl. BGE 123 V 215 Erw. 1, 120 V 466 Erw. 1 mit Hinweisen und Poudret, Commentaire de la loi fédérale d'organisation judiciaire, Bd. 1, S. 343 unten f.).</w:t>
      </w:r>
    </w:p>
    <w:p>
      <w:r>
        <w:rPr>
          <w:b/>
        </w:rPr>
        <w:t>E. 2</w:t>
      </w:r>
    </w:p>
    <w:p>
      <w:r>
        <w:t>Der in den drei Verwaltungsgerichtsbeschwerden je wiedergegebene Feststellungsantrag betreffend fehlender Gesetzesgrundlage hat keinerlei selbstständige Bedeutung, da die Beschwerdeführerinnen direkt die Aufhebung der verfügten und vorinstanzlich bestätigten Zahlungen beantragen.</w:t>
      </w:r>
    </w:p>
    <w:p>
      <w:r>
        <w:t>Dabei handelt es sich entgegen dem Einwand der Beschwerdegegnerin nicht um ein unzulässiges Feststellungsbegehren, sondern es ist darin das für den gestellten Antrag auf Aufhebung der Departementsentscheide massgebliche Begründungselement zu erblicken.</w:t>
      </w:r>
    </w:p>
    <w:p>
      <w:r>
        <w:rPr>
          <w:b/>
        </w:rPr>
        <w:t>E. 3</w:t>
      </w:r>
    </w:p>
    <w:p>
      <w:r>
        <w:t>Als Frage des Bundesrechts im Rahmen inzidenter (konkreter) Normenkontrolle frei zu beurteilen ( Art. 104 lit. a OG ) ist einzig, ob die am 30. September 1999 für das Risikoausgleichsjahr 1997 verfügten und vorinstanzlich bestätigten Zahlungen sich auf eine genügende gesetzliche Grundlage stützen können, was EDI und Beschwerdegegnerin bejahen, die Beschwerdeführerinnen hingegen verneinen.</w:t>
      </w:r>
    </w:p>
    <w:p>
      <w:r>
        <w:t>a) Nach Art. 105 Abs. 1 KVG haben Versicherer, die unter ihren Versicherten weniger Frauen und ältere Personen haben als der Durchschnitt aller Versicherer, der Gemeinsamen Einrichtung ( Art. 18 KVG ) zu Gunsten von Versicherern mit überdurchschnittlich vielen Frauen und älteren Personen Abgaben zu entrichten, welche die durchschnittlichen Kostenunterschiede zwischen den massgebenden Risikogruppen in vollem Umfang ausgleichen. Für den Vergleich massgebend sind die Strukturen der Bestände innerhalb eines Kantons und jedes Versicherers ( Art. 105 Abs. 2 KVG ). Nach Art. 105 Abs. 4 zweiter Satz KVG erlässt der Bundesrat die Ausführungsbestimmungen zum Risikoausgleich unter Wahrung der Anreize zur Kosteneinsparung durch die Versicherer.</w:t>
      </w:r>
    </w:p>
    <w:p>
      <w:r>
        <w:t>Auf dieser Grundlage hat der Bundesrat am 12. April 1995 die Verordnung über den Risikoausgleich in der Krankenversicherung (VORA) erlassen, welche die auf dem Bundesbeschluss über befristete Massnahmen gegen die Entsolidarisierung in der Krankenversicherung beruhende Verordnung IX vom 31. August 1992 über die Krankenversicherung betreffend den Risikoausgleich unter den Krankenkassen (Verordnung IX) mit Wirkung ab 1. Januar 1996 aufgehoben hat (Art. 17 Abs. 1 in Verbindung mit Abs. 4 VORA).</w:t>
      </w:r>
    </w:p>
    <w:p>
      <w:r>
        <w:t>aa) Unter der Marginalie "Zahlungsfristen" sah aArt. 12 VORA in Abs. 4 und 5 ursprünglich vor:</w:t>
      </w:r>
    </w:p>
    <w:p>
      <w:r>
        <w:rPr>
          <w:b/>
        </w:rPr>
        <w:t>E. 4</w:t>
      </w:r>
    </w:p>
    <w:p>
      <w:r>
        <w:t>Versicherer, welche die Zahlungsfristen nach den</w:t>
      </w:r>
    </w:p>
    <w:p>
      <w:r>
        <w:t>Abs. 1 und 2 nicht einhalten, haben nach deren Ablauf</w:t>
      </w:r>
    </w:p>
    <w:p>
      <w:r>
        <w:t>pro Monat 0,5 % Verzugszins an die Gemeinsame Einrichtung</w:t>
      </w:r>
    </w:p>
    <w:p>
      <w:r>
        <w:t>zu bezahlen. Diese Regelung gilt sowohl für</w:t>
      </w:r>
    </w:p>
    <w:p>
      <w:r>
        <w:t>die beiden Raten des provisorischen Risikoausgleichs</w:t>
      </w:r>
    </w:p>
    <w:p>
      <w:r>
        <w:t>als auch für die Schlusszahlung des definitiven Risikoausgleichs.</w:t>
      </w:r>
    </w:p>
    <w:p>
      <w:r>
        <w:rPr>
          <w:b/>
        </w:rPr>
        <w:t>E. 5</w:t>
      </w:r>
    </w:p>
    <w:p>
      <w:r>
        <w:t>Dabei rechnet die Gemeinsame Einrichtung, was aus</w:t>
      </w:r>
    </w:p>
    <w:p>
      <w:r>
        <w:t>dem Schema über den zeitlichen Ablauf ersichtlich</w:t>
      </w:r>
    </w:p>
    <w:p>
      <w:r>
        <w:t>ist, einerseits die Anzahl der Tage aus, während</w:t>
      </w:r>
    </w:p>
    <w:p>
      <w:r>
        <w:t>denen die Kasse die Differenzbeträge schuldig geblieben</w:t>
      </w:r>
    </w:p>
    <w:p>
      <w:r>
        <w:t>war.</w:t>
      </w:r>
    </w:p>
    <w:p>
      <w:r>
        <w:rPr>
          <w:b/>
        </w:rPr>
        <w:t>E. 6</w:t>
      </w:r>
    </w:p>
    <w:p>
      <w:r>
        <w:t>Anderseits rechnet sie mit einem Zinssatz (in</w:t>
      </w:r>
    </w:p>
    <w:p>
      <w:r>
        <w:t>casu: 2,9967 % und 2,9480 %), welcher der Durchschnittsrendite</w:t>
      </w:r>
    </w:p>
    <w:p>
      <w:r>
        <w:t>von Obligationen öffentlicher</w:t>
      </w:r>
    </w:p>
    <w:p>
      <w:r>
        <w:t>Schuldner für eine Laufzeit bis sieben Jahre entspricht,</w:t>
      </w:r>
    </w:p>
    <w:p>
      <w:r>
        <w:t>wie sie aus den Statistischen Monatsheften</w:t>
      </w:r>
    </w:p>
    <w:p>
      <w:r>
        <w:t>der Schweizerischen Nationalbank hervorgeht.</w:t>
      </w:r>
    </w:p>
    <w:p>
      <w:r>
        <w:t>4.- a) Für die hier zur Beurteilung anstehende vorfrageweise Überprüfung von aArt. 12 Abs. 5 VORA sind die Grundsätze massgebend, wie sie die Rechtsprechung hinsichtlich der Kontrolle unselbstständigen Verordnungsrechts nach Inkrafttreten der neuen Bundesverfassung in Bestätigung der früheren Praxis aufgestellt hat ( BGE 126 V 48 ). Danach kann das Eidgenössische Versicherungsgericht Verordnungen des Bundesrates grundsätzlich, von hier nicht in Betracht fallenden Ausnahmen abgesehen, auf ihre Rechtmässigkeit hin überprüfen. Bei (unselbstständigen) Verordnungen, die sich auf eine gesetzliche Delegation stützen, prüft es, ob sie sich in den Grenzen der dem Bundesrat im Gesetz eingeräumten Befugnisse halten. Wird dem Bundesrat durch die gesetzliche Delegation ein sehr weiter Spielraum des Ermessens für die Regelung auf Verordnungsebene eingeräumt, muss sich das Gericht auf die Prüfung beschränken, ob die umstrittenen Verordnungsvorschriften offensichtlich aus dem Rahmen der dem Bundesrat im Gesetz delegierten Kompetenzen herausfallen oder aus andern Gründen verfassungs- oder gesetzwidrig sind. Es kann jedoch sein eigenes Ermessen nicht an die Stelle desjenigen des Bundesrates setzen und es hat auch nicht die Zweckmässigkeit zu untersuchen. Die vom Bundesrat verordnete Regelung verstösst allerdings dann gegen Art. 8 Abs. 1 BV , wenn sie sich nicht auf ernsthafte Gründe stützen lässt, wenn sie sinn- oder zwecklos ist oder wenn sie rechtliche Unterscheidungen trifft, für die sich ein vernünftiger Grund nicht finden lässt. Gleiches gilt, wenn die Verordnung es unterlässt, Unterscheidungen zu treffen, die richtigerweise hätten berücksichtigt werden sollen (vgl. auch die zu Art. 4 aBV ergangene Rechtsprechung BGE 125 V 30 Erw. 6a, 124 II 245 Erw. 3, 583 Erw. 2a, 124 V 15 Erw. 2a, 194 Erw. 5a, je mit Hinweisen).</w:t>
      </w:r>
    </w:p>
    <w:p>
      <w:r>
        <w:t>b) Die Beschwerdeführerinnen erkennen die gerügte Gesetzwidrigkeit von aArt. 12 Abs. 5 VORA darin, dass es sich bei der darin festgelegten Zahlungspflicht um "eine Art Steuer" handle, für welche die von der Rechtsprechung für Abgaben verlangte Grundlage in einem formellen Gesetz ( BGE 124 I 247 und 289) fehle. Danach müsse das formelle Gesetz den Kreis der Abgabepflichtigen, den Gegenstand und die Bemessungsgrundlagen selber festlegen, Anforderungen, welche hinsichtlich der Vorgaben über die Abgabenbemessung für gewisse Arten von Kausalabgaben gelockert werden könnten, wenn das Mass der Abgabe durch überprüfbare verfassungsrechtliche Prinzipien (Kostendeckungs- und Äquivalenzprinzip) begrenzt werde. Beim Vergütungszins gemäss VORA handle es sich aber nicht um eine Kausalabgabe, sodass die erwähnten Lockerungen des Legalitätsprinzips nicht zum Zuge kämen.</w:t>
      </w:r>
    </w:p>
    <w:p>
      <w:r>
        <w:t>c) Der Standpunkt der Beschwerdeführerinnen ist vorab insoweit unbegründet, als sie einwenden, der Vergütungszins sei erst "aus der Taufe gehoben" - womit wohl gesagt werden will: in die Verordnung aufgenommen - worden, nachdem "das Bundesgericht die Unzulässigkeit des Verzugszinses festgestellt" habe. Demgegenüber ist festzuhalten, dass aArt. 12 Abs. 4 VORA (betreffend Verzugszinspflicht) und Abs. 5 VORA (betreffend Differenzverzinsungspflicht) schon in der ursprünglichen Fassung der VORA vom 12. April 1995 enthalten waren (Erw. 3a/aa hievor) und das Eidgenössische Versicherungsgericht erst am 19. Dezember 1996 die Gesetzwidrigkeit der entsprechenden Vorläuferbestimmung (Art. 13 Abs. 4 VO IX) festgestellt hatte. Das gleich lautende Urteil bezüglich der VORA sodann erging, wie bereits dargelegt (Erw.</w:t>
      </w:r>
    </w:p>
    <w:p>
      <w:r>
        <w:t>3a/bb in fine hievor), erst am 31. Juli 1997. Schon unter diesem Gesichtspunkt kann von einer Substitution der Verzugszinspflicht mit der Differenzzahlungszinspflicht durch den Verordnungsgeber nicht die Rede sein. Auch der Sache nach geht es um verschiedenartige Zinsregelungen, wie sogleich aufzuzeigen ist.</w:t>
      </w:r>
    </w:p>
    <w:p>
      <w:r>
        <w:t>d) Entgegen der Auffassung der Beschwerdeführerinnen kann die Rechtsprechung zur formell gesetzlichen Grundlage öffentlichrechtlicher Abgaben nicht auf den Risikoausgleich nach Art. 105 KVG angewendet werden. Denn die Risikoausgleichszahlungspflicht nach Art. 105 KVG kann mit der Pflicht des Einzelnen zur Zahlung öffentlichrechtlicher Abgaben (Steuern, Kausalabgaben, Gebühren usw.) nicht verglichen werden. Die Zahlungspflicht im Rahmen des Risikoausgleichs trifft die Krankenversicherer als gesetzliche Organe zur Durchführung der Krankenversicherung (vgl. BGE 124 V 398 Erw. 2c).</w:t>
      </w:r>
    </w:p>
    <w:p>
      <w:r>
        <w:t>Verfügte Zahlungen im Rahmen des Risikoausgleichs zu Lasten der Krankenversicherer betreffen also nicht die Rechtsstellung Einzelner hinsichtlich der Verpflichtung zur Leistung öffentlichrechtlicher Abgaben an den Staat. Es handelt sich vielmehr um ein Instrument, das der Gesetzgeber der Gemeinsamen Einrichtung überantwortet hat, damit in Bezug auf die Risikoselektion Voraussetzungen hergestellt werden können, welche eine Durchführung des Obligatoriums in der Krankenpflegeversicherung nach KVG erlauben.</w:t>
      </w:r>
    </w:p>
    <w:p>
      <w:r>
        <w:t>Es handelt sich um ein krankenversicherungsrechtliches Vollzugsmittel, hinsichtlich dessen das Eidgenössische Versicherungsgericht darauf hingewiesen hat, dass dem Bundesrat in diesen Fragen ein besonders hohes Mass an Gestaltungsfreiheit zukommt ( BGE 120 V 463 oben).</w:t>
      </w:r>
    </w:p>
    <w:p>
      <w:r>
        <w:t>e) Bei diesen rechtlichen Gegebenheiten kann sich nur fragen, ob der Bundesrat mit der in aArt. 12 Abs. 5 VORA stipulierten Pflicht der Krankenversicherer, in der Zeit zwischen den geleisteten Raten und der definitiven Abrechnung auf den fehlenden Differenzbeträgen Zins zahlen zu müssen (oder im gegenteiligen Fall bei zu hohen provisorischen Beträgen Zinsen vergütet zu erhalten), der Gemeinsamen Einrichtung ein Mittel in die Hand gegeben hat, mit dem das im formellen Gesetz verankerte Ziel eines vollen Kostenausgleichs (Art. 105 Abs. 1 in fine KVG; BGE 120 V 462 ) sachgerecht erreicht wird. Diese Frage ist mit EDI und Beschwerdegegnerin zu bejahen: Die Zinspflicht auf den Differenzen zwischen provisorischem und definitivem Risikoausgleich ist nicht, wie der Verzugszins, eine Sanktion für verspätete Zahlung bei Nichteinhaltung der in aArt. 12 Abs. 1 und 2 VORA normierten Zahlungstermine, sondern trägt den Auswirkungen des vom Verordnungsgeber eingeführten zweistufigen Erhebungssystems (provisorischer und definitiver Risikoausgleich) Rechnung, dessen Gesetzmässigkeit seinerseits von der Rechtsprechung schon unter der Geltung der VO IX/KUVG nicht in Frage gestellt worden ist (SVR 1997 KV Nr. 99 S. 327): Mit dem System der zweiphasigen Risikoausgleichung - der provisorische Risikoausgleich beruht auf der Vergangenheits-, der definitive Risikoausgleich auf der Gegenwartsbemessung ( Art. 6 Abs. 1 und Abs. 2 VORA ) - sind notwendigerweise Differenzen verbunden. Mit der Zinserhebung darauf werden die am Risikoausgleich beteiligten Krankenversicherer unter Berücksichtigung der Zinsentwicklung annähernd so gestellt, wie wenn sie von Anfang an die aus der definitiven Abrechnung sich ergebenden Beträge bezahlt hätten. Diese Wirkung der Differenzzahlungs-Zinspflicht ist durch die gesetzliche Vorgabe der vollen Kostenausgleichspflicht nach Art. 105 Abs. 1 in fine KVG gedeckt, wie die Vorinstanz zutreffend erkannt hat.</w:t>
      </w:r>
    </w:p>
    <w:p>
      <w:r>
        <w:t>5.- Bei diesem Ausgang des Verfahrens werden die Beschwerdeführerinnen kostenpflichtig ( Art. 156 Abs. 1 OG ).</w:t>
      </w:r>
    </w:p>
    <w:p>
      <w:r>
        <w:t>Eine Parteientschädigung ist der obsiegenden Beschwerdegegnerin nicht zuzusprechen, da diese in ihrer Funktion als mit öffentlichen Aufgaben betraute Organisation gehandelt hat ( Art. 159 Abs. 2 OG ).</w:t>
      </w:r>
    </w:p>
    <w:p>
      <w:r>
        <w:t>Demnach erkennt das Eidg. Versicherungsgericht:</w:t>
      </w:r>
    </w:p>
    <w:p>
      <w:r>
        <w:t>I. Die Verwaltungsgerichtsbeschwerden werden abgewiesen.</w:t>
      </w:r>
    </w:p>
    <w:p>
      <w:r>
        <w:t>II. Die Gerichtskosten von insgesamt Fr. 18'000.- werden den Beschwerdeführerinnen in Höhe je der von ihnen geleisteten Kostenvorschüsse auferlegt und mit diesen</w:t>
      </w:r>
    </w:p>
    <w:p>
      <w:r>
        <w:t>verrechnet.</w:t>
      </w:r>
    </w:p>
    <w:p>
      <w:r>
        <w:t>III. Es wird keine Parteientschädigung zugesprochen.</w:t>
      </w:r>
    </w:p>
    <w:p>
      <w:r>
        <w:t>IV. Dieses Urteil wird den Parteien, dem Eidgenössischen Departement des Innern und dem Bundesamt für Sozialversicherung zugestellt.</w:t>
      </w:r>
    </w:p>
    <w:p>
      <w:r>
        <w:t>Luzern, 16. Oktober 2000</w:t>
      </w:r>
    </w:p>
    <w:p>
      <w:r>
        <w:t>Im Namen des</w:t>
      </w:r>
    </w:p>
    <w:p>
      <w:r>
        <w:t>Eidgenössischen Versicherungsgerichts</w:t>
      </w:r>
    </w:p>
    <w:p>
      <w:r>
        <w:t>Der Präsident der I. Kammer:</w:t>
      </w:r>
    </w:p>
    <w:p>
      <w:r>
        <w:t>Der Gerichtsschreiber:</w:t>
      </w:r>
    </w:p>
    <w:p>
      <w:r>
        <w: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