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 43/98 vom 25. Februar 2000</w:t>
      </w:r>
    </w:p>
    <w:p>
      <w:r>
        <w:t>Bundesgericht, 2000-02-25, IT</w:t>
      </w:r>
    </w:p>
    <w:p>
      <w:r>
        <w:rPr>
          <w:b/>
        </w:rPr>
        <w:t xml:space="preserve">Quelle: </w:t>
      </w:r>
      <w:r>
        <w:t>https://mcp.opencaselaw.ch/entscheid/bger_K_43_98</w:t>
      </w:r>
    </w:p>
    <w:p>
      <w:r>
        <w:t>FR: TF K 43/98 du 25 février 2000</w:t>
      </w:r>
    </w:p>
    <w:p>
      <w:r>
        <w:t>IT: TF K 43/98 del 25 febbraio 2000</w:t>
      </w:r>
    </w:p>
    <w:p>
      <w:pPr>
        <w:pStyle w:val="Heading2"/>
      </w:pPr>
      <w:r>
        <w:t>Regeste</w:t>
      </w:r>
    </w:p>
    <w:p>
      <w:r>
        <w:t>Assicurazione contro le malattie</w:t>
      </w:r>
    </w:p>
    <w:p>
      <w:pPr>
        <w:pStyle w:val="Heading2"/>
      </w:pPr>
      <w:r>
        <w:t>Erwägungen</w:t>
      </w:r>
    </w:p>
    <w:p>
      <w:r>
        <w:rPr>
          <w:b/>
        </w:rPr>
        <w:t>E. 1</w:t>
      </w:r>
    </w:p>
    <w:p>
      <w:r>
        <w:t>Controversa in concreto è la presa a carico, da parte della ricorrente, dei costi per le cure a domicilio impartite all'assicurata nel periodo da gennaio a settembre 1996 per complessivi fr. 639. - a titolo di prestazioni dell'assicurazione obbligatoria contro le malattie. In particolare, oggetto della vertenza è unicamente il tema di sapere se la Cassa debba assumere detti trattamenti benché essi non siano stati dispensati da personale infermieristico, come richiesto dalla previgente Convenzione conclusa nel 1990 tra ATAD e FTCM, ma da operatori con diploma di aiuto familiare. Nell'impugnato giudizio è in effetti già stato vagliato come le prestazioni litigiose costituissero cure ai sensi degli art. 25 cpv. 2 lett. a LAMal e 7 cpv. 2 lett. c cifra 1 OPre e fossero state regolarmente prescritte dal medico dell'opponente, punti questi che non sono più contestati in sede federale.</w:t>
      </w:r>
    </w:p>
    <w:p>
      <w:r>
        <w:rPr>
          <w:b/>
        </w:rPr>
        <w:t>E. 2</w:t>
      </w:r>
    </w:p>
    <w:p>
      <w:r>
        <w:t>La prima autorità di ricorso ha compiutamente illustrato le norme legali che disciplinano il diritto al rimborso dei costi delle cure prodigate al di fuori dell'ospedale (note sotto l'abbreviazione SPITEX) da parte dell'assicurazione sociale contro le malattie, illustrando in modo esatto l'ordinamento previsto dalla LAMal e dalle relative ordinanze. Ha pure rettamente ricordato che, in forza dell' art. 104 cpv. 1 LAMal in relazione con l'art. 8 cpv. 1 dell'Ordinanza concernente l'entrata in vigore e l'introduzione della LAMal, all'entrata in vigore della LAMal (1° gennaio 1996) le convenzioni tariffali esistenti non sono decadute, ma hanno mantenuto provvisoriamente la loro validità, dovendo essere adeguate al nuovo diritto entro la fine del 1997. A detta esposizione può essere fatto riferimento.</w:t>
      </w:r>
    </w:p>
    <w:p>
      <w:r>
        <w:rPr>
          <w:b/>
        </w:rPr>
        <w:t>E. 3</w:t>
      </w:r>
    </w:p>
    <w:p>
      <w:r>
        <w:t>Anche per quanto attiene all'applicazione del summenzionato ordinamento al caso di specie, i giudici cantonali hanno vagliato la vertenza in modo esatto e con argomentazioni convincenti cui questa Corte deve integralmente aderire e rinviare. Essi hanno in particolare rettamente esposto come rispetto al previgente disciplinamento la LAMal abbia esteso le prestazioni obbligatoriamente a carico degli assicuratori contro le malattie, includendo segnatamente le cure a domicilio in senso lato ai sensi dell' art. 7 OPre , a condizione di essere prescritte dal medico e dispensate da infermieri o da organizzazioni di cure e d'aiuto a domicilio aventi le caratteristiche descritte dall' art. 51 OAMal ( art. 7 OPre ). In concreto, osservato come tali requisiti legali e regolamentari fossero soddisfatti e che, per l' art. 103 cpv. 1 LAMal , gli assicuratori devono fornire le prestazioni previste dalla legge a decorrere dalla sua entrata in vigore, la precedente istanza ha respinto le allegazioni dell'insorgente facendole obbligo di coprire i costi per i trattamenti a domicilio in lite.</w:t>
      </w:r>
    </w:p>
    <w:p>
      <w:r>
        <w:rPr>
          <w:b/>
        </w:rPr>
        <w:t>E. 4</w:t>
      </w:r>
    </w:p>
    <w:p>
      <w:r>
        <w:t>a) La Cassa malati ricorrente non contesta che gli operatori del consorzio di aiuto domiciliare - di formazione aiuto familiare - che si erano occupati di C.________ fossero in grado, ai sensi dell' art. 51 OAMal , di soddisfare le aspettative che si ponevano nel quadro delle cure di cui la paziente necessitava. Trattandosi di prestazioni fornite nel 1996, ribadisce tuttavia che l'eventuale suo obbligo di copertura dovrebbe venir esaminato alla luce della Convenzione tariffale tra ATAD e FTCM del 1990, dal momento che la medesima, in virtù dell' art. 104 cpv. 1 LAMal , era rimasta applicabile nel periodo transitorio, dopo l'entrata in vigore della LAMal e prima dell'approvazione, nel gennaio 1997, della nuova Convenzione SPITEX tra i servizi di assistenza e di cura a domicilio, affiliati all'ATAD, e la FTAM. Ora, considerato come per tale regolamentazione solo i trattamenti a domicilio dispensati da infermieri diplomati fossero a carico delle Casse e che nel caso di specie tale condizione non era adempiuta, le fatture dell'opponente non potevano essere onorate. Questa tesi non può essere condivisa. b) Pertinentemente la precedente istanza ha già rilevato che la limitazione dell'assunzione delle cure SPITEX unicamente a quelle fornite da infermieri diplomati istituita dalla citata disposizione convenzionale è contraria all'ordinamento federale. Come detto, la LAMal ha in effetti previsto, dalla sua entrata in vigore, la copertura a titolo obbligatorio delle cure a domicilio ai sensi dell' art. 7 OPre , se effettuate, alternativamente, da infermieri o da organizzazioni di cure e d'aiuto a domicilio, ritenuto come per il personale impiegato da queste ultime è necessaria - ma anche sufficiente - una formazione corrispondente al mandato di prestazione ( art. 51 OAMal ; cfr. anche Maurer, Das neue Krankenversicherungsrecht, pag. 66). Ciò premesso, la discussa restrizione convenzionale non può essere invocata richiamandosi all' art. 104 cpv. 1 LAMal . La ricorrente misconosce infatti la portata di questo disposto che è quella di mantenere transitoriamente in vigore le previgenti convenzioni tariffali nella misura in cui tuttavia esse adempiano alla funzione primaria conferita loro dalla legge, quale è quella di fungere da strumento per la determinazione della rimunerazione nell'assicurazione malattia obbligatoria e non invece quella di interferire nella regolamentazione del diritto alle prestazioni (cfr. gli art. 43 segg. LAMal; cfr. anche Maurer, op. cit. , pag. 78 seg). Riferendosi alla disposizione transitoria in oggetto, nel suo Messaggio concernente la revisione dell'assicurazione malattia del 6 novembre 1991 il Consiglio federale ha in effetti precisato che il motivo per cui le convenzioni tariffali esistenti non dovevano essere abrogate per legge risiedeva nella costatazione che la nuova disciplina legale non apportava modificazioni fondamentali nei rapporti tra fornitori di prestazioni e assicuratori (FF 1992 I pag. 184; cfr. anche pag. 143 e 148). Ora, laddove invece una convenzione previgente esuli dalla materia tariffale propriamente detta e contenga una regolamentazione di natura materiale, non è evidentemente pertinente richiamarsi all' art. 104 cpv. 1 LAMal per prolungarne la validità, specie quando, come in concreto, ne discenderebbe un'inammissibile restrizione delle prestazioni legali. Al proposito, la pronunzia querelata ha rettamente considerato come l'applicazione della norma convenzionale in discussione condurrebbe di fatto a posticipare di un anno l'entrata in vigore di prestazioni dell'assicurazione obbligatoria - quelle di cure SPITEX - definite indispensabili e urgenti dal legislatore e alle quali gli assicurati hanno quindi diritto, in virtù della legge e conformemente ai requisiti posti dalla medesima, sin dal 1° gennaio 1996 (cfr. Messaggio, op. cit. , pag. 102 seg. e 122 seg. ). Si rilevi come la stessa risulti peraltro inconciliabile anche con la libertà di scelta dell'assicurato, al quale la LAMal, in materia di cure a domicilio, conferisce la facoltà di ricorrere ai servizi di un'infermiere o a quelli di un'organizzazione di cure specifica ( art. 41 LAMal , 51 OAMal, 7 cpv. 1 OPre; cfr. anche Maurer, op. cit. , pag. 66 e 72).</w:t>
      </w:r>
    </w:p>
    <w:p>
      <w:r>
        <w:rPr>
          <w:b/>
        </w:rPr>
        <w:t>E. 5</w:t>
      </w:r>
    </w:p>
    <w:p>
      <w:r>
        <w:t>Per quanto precede, il gravame si appalesa infondato, mentre merita integrale tutela il giudizio cantonale. L'insorgente è quindi tenuta a coprire le cure controverse, osservato come i relativi costi dovranno essere assunti limitatamente a quanto previsto dalle posizioni di tariffa contemplate dalla richiamata Convenzione tra ATAD e FTCM del 1990, la stessa, trattandosi di trattamenti risalenti al 1996, essendo a questo specifico riguardo incontestatamente applicabile.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