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K_43/2003 vom 5. April 2004</w:t>
      </w:r>
    </w:p>
    <w:p>
      <w:r>
        <w:t>Bundesgericht, 2004-04-05, DE</w:t>
      </w:r>
    </w:p>
    <w:p>
      <w:r>
        <w:rPr>
          <w:b/>
        </w:rPr>
        <w:t xml:space="preserve">Quelle: </w:t>
      </w:r>
      <w:r>
        <w:t>https://mcp.opencaselaw.ch/entscheid/bger_K_43_2003</w:t>
      </w:r>
    </w:p>
    <w:p>
      <w:r>
        <w:t>FR: TF K_43/2003 du 5 avril 2004</w:t>
      </w:r>
    </w:p>
    <w:p>
      <w:r>
        <w:t>IT: TF K_43/2003 del 5 aprile 2004</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und weil ferner nach dem massgebenden Zeitpunkt des Einspracheentscheides (hier: 3. Oktober 2002) eingetretene Rechts- und Sachverhaltsänderungen unberücksichtigt zu bleiben haben, sind im vorliegenden Fall die bis zum 31. Dezember 2002 geltenden Bestimmungen anwendbar ( BGE 129 V 4 Erw. 1.2 mit Hinweisen; zur Anwendbarkeit neuer Verfahrensvorschriften vgl. BGE 129 V 115 Erw. 2.2). Entgegen den im vorinstanzlichen Entscheid enthaltenen rechtlichen Erwägungen findet der Allgemeine Teil des Sozialversicherungsrechts, insbesondere Art. 72 Abs. 1 ATSG , mithin keine Anwendung auf das vorliegende Verfahren.</w:t>
      </w:r>
    </w:p>
    <w:p>
      <w:r>
        <w:rPr>
          <w:b/>
        </w:rPr>
        <w:t>E. 2</w:t>
      </w:r>
    </w:p>
    <w:p>
      <w:r>
        <w:t>Die Frage, ob die soziale Krankenversicherung gemäss Art. 79 KVG Rückgriff gegenüber Dritten nehmen kann, ist sozialversicherungsrechtlicher Natur. Demzufolge sind Streitigkeiten über die Auslegung und Anwendung dieser Gesetzesbestimmung durch die kantonalen Versicherungsgerichte und letztinstanzlich durch das Eidgenössische Versicherungsgericht zu entscheiden ( BGE 129 V 396 ).</w:t>
      </w:r>
    </w:p>
    <w:p>
      <w:r>
        <w:rPr>
          <w:b/>
        </w:rPr>
        <w:t>E. 3</w:t>
      </w:r>
    </w:p>
    <w:p>
      <w:r>
        <w:t>Aufgrund der Akten steht fest, dass der Beschwerdeführer bei der Concordia nach KVG taggeldversichert ist. Entgegen dessen Darstellung hat die Beschwerdegegnerin mit der angefochtenen Verfügung nicht über Leistungen der Zusatzversicherung, die dem Versicherungsvertragsgesetz (VVG) unterliegen ( Art. 12 Abs. 2 und 3 KVG ) befunden: die freiwillige Taggeldversicherung ist zwar nicht obligatorisch, fällt indessen nicht in den Bereich der Zusatzversicherungen, sondern es handelt sich um eine auf öffentlichem Recht beruhende Versicherung (vgl. Maurer, Das neue Krankenversicherungsrecht, Basel/Frankfurt am Main 1996, S. 108). Durch ihre Ausgestaltung als Sozialversicherung mit zahlreichen Schutzbestimmungen unterscheidet sich die Taggeldversicherung nach KVG von jener nach Versicherungsvertragsgesetz (VVG). Die Beschwerdegegnerin war demnach zum Erlass der angefochtenen Verfügung befugt.</w:t>
      </w:r>
    </w:p>
    <w:p>
      <w:r>
        <w:rPr>
          <w:b/>
        </w:rPr>
        <w:t>E. 4.1</w:t>
      </w:r>
    </w:p>
    <w:p>
      <w:r>
        <w:t>Gemäss Art. 79 KVG tritt der Versicherer gegenüber Dritten, die für den Versicherungsfall haften, im Zeitpunkt des Ereignisses bis zur Höhe der gesetzlichen Leistungen in die Ansprüche der versicherten Person ein. Es handelt sich dabei um eine gesetzliche Subrogation des Sozialversicherers. Diese lässt nur für den durch die Krankenversicherung nicht obligatorisch gedeckten Schaden Raum für eine direkte Klage des Geschädigten gegen den haftpflichtigen Dritten ( BGE 129 V 398 f. Erw. 1 mit Hinweisen). Die Subrogation setzt voraus, dass der Sozialversicherer mit seinen Leistungen einen entsprechenden Schaden ausgleicht. Dabei gehen ausschliesslich Ansprüche gleicher Art auf den Versicherer über ( Art. 124 Abs. 1 KVV ; sachliche Kongruenz). Die Leistung des Krankenversicherers hat einer haftpflichtrechtlichen Schadenskategorie zu entsprechen (vgl. Eugster, Krankenversicherung, in: Schweizerisches Bundesverwaltungsrecht [SBVR]/Soziale Sicherheit, S. 220 Rz 398). Was solche sachlich kongruenten Schadenspositionen sind, wird in Art. 124 Abs. 2 lit. d KVV beispielhaft aufgezählt; darunter fallen namentlich Taggelder und Ersatz für Arbeitsunfähigkeit während der gleichen Zeitdauer.</w:t>
      </w:r>
    </w:p>
    <w:p>
      <w:r>
        <w:rPr>
          <w:b/>
        </w:rPr>
        <w:t>E. 4.2</w:t>
      </w:r>
    </w:p>
    <w:p>
      <w:r>
        <w:t>Die Beschwerdegegnerin hat dem Beschwerdeführer Taggelder ab Unfalldatum bis zum 30. Juni 2002 im Gesamtbetrag von Fr. 92'700.-- ausgerichtet. Die Mobiliar hat als Haftpflichtversicherer des Unfallverursachers das entsprechende Betreffnis beim Gericht X.________ gestützt auf Art. 168 OR hinterlegt. Dieser Hinterlegung hat die Gerichtspräsidentin 2 des Gericht X.________ mit Entscheid vom 11. März 2002 zugestimmt. Da entsprechend den vorstehenden Erwägungen die Haftpflichtansprüche des Beschwerdeführers gemäss Art. 79 KVG im Umfang der erbrachten Taggeldleistungen auf die Beschwerdegegnerin übergegangen sind, stehen dem Versicherten diesbezüglich keine eigenen Ansprüche mehr zu (vgl. zum Ganzen auch Maurer, a.a.O., S. 125 ff. und Eugster, a.a.O., S. 219 Rz 397, wonach dem Krankenversicherer gegenüber dem Haftpflichtversicherer ein integrales Regressrecht zukommt). Mithin steht fest, dass die Beschwerdegegnerin an der beim zuständigen Gericht hinterlegten Entschädigungssumme für den Erwerbsschaden allein berechtigt ist.</w:t>
      </w:r>
    </w:p>
    <w:p>
      <w:r>
        <w:rPr>
          <w:b/>
        </w:rPr>
        <w:t>E. 5</w:t>
      </w:r>
    </w:p>
    <w:p>
      <w:r>
        <w:t>Was der Beschwerdeführer in seiner Verwaltungsgerichtsbeschwerde dagegen vorbringt, vermag nicht zu überzeugen: Insbesondere ist, soweit der Versicherte geltend macht, er verliere durch den vorinstanzlichen Entscheid sein Quotenvorrecht, darauf hinzuweisen, dass sich ein derartiges Vorrecht ( Art. 123 Abs. 1 KVV ) nur im Falle einer Leistungskürzung ergeben könnte. Eine solche ist indes, wie die Beschwerdegegnerin zu Recht anführt, vorliegend nicht erfolgt, beträgt doch die Haftungsquote des Haftpflichtversicherers unbestritten 100 Prozent. Zu Unrecht rügt der Versicherte überdies, die allgemeinen Versicherungsbedingungen sähen die Subrogation gemäss Art. 79 KVG nicht vor. Aus dem Reglement über die freiwillige Taggeldversicherung, Ausgabe 2001, ergibt sich, dass die Beschwerdegegnerin darin die gesetzliche Regelung wörtlich übernimmt (Ziff. 34.5 des Reglementes).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