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K 196/00 vom 6. Februar 2001</w:t>
      </w:r>
    </w:p>
    <w:p>
      <w:r>
        <w:t>Bundesgericht, 2001-02-06, FR</w:t>
      </w:r>
    </w:p>
    <w:p>
      <w:r>
        <w:rPr>
          <w:b/>
        </w:rPr>
        <w:t xml:space="preserve">Quelle: </w:t>
      </w:r>
      <w:r>
        <w:t>https://mcp.opencaselaw.ch/entscheid/bger_K_196_00</w:t>
      </w:r>
    </w:p>
    <w:p>
      <w:r>
        <w:t>FR: TF K 196/00 du 6 février 2001</w:t>
      </w:r>
    </w:p>
    <w:p>
      <w:r>
        <w:t>IT: TF K 196/00 del 6 febbraio 2001</w:t>
      </w:r>
    </w:p>
    <w:p>
      <w:pPr>
        <w:pStyle w:val="Heading2"/>
      </w:pPr>
      <w:r>
        <w:t>Regeste</w:t>
      </w:r>
    </w:p>
    <w:p>
      <w:r>
        <w:t>Assurance-maladie</w:t>
      </w:r>
    </w:p>
    <w:p>
      <w:pPr>
        <w:pStyle w:val="Heading2"/>
      </w:pPr>
      <w:r>
        <w:t>Volltext</w:t>
      </w:r>
    </w:p>
    <w:p>
      <w:r>
        <w:t>Bundesgericht Eidgenössisches Versicherungsgericht 06.02.2001 K 196/00 Tribunal fédéral Tribunal fédéral des assurances 06.02.2001 K 196/00 Tribunale federale Tribunale federale delle assicurazioni 06.02.2001 K 196/00</w:t>
      </w:r>
    </w:p>
    <w:p>
      <w:r>
        <w:t>Assurance-maladie</w:t>
      </w:r>
    </w:p>
    <w:p>
      <w:r>
        <w:t>[AZA 0] K 196/00 Sm IIe Chambre composée des Juges fédéraux Lustenberger, Président, Meyer et Ferrari; Métral, Greffier Arrêt du 6 février 2001 dans la cause B.________, recourant, contre SUPRA Caisse-maladie, chemin de Primerose 35, Lausanne, intimée, et Tribunal des assurances du canton de Vaud, Lausanne Considérant : que par décision du 23 septembre 1999, la Supra Caisse-maladie (ci-après : la caisse) a mis fin au rapport d'assurance qui la liait à B.________; que par décision sur opposition du 5 novembre 1999, elle a maintenu son point de vue; K 196/00 Sm que le recours de l'assuré contre cette seconde décision a été rejeté le 29 septembre 2000 par le Tribunal des assurances du canton de Vaud; que par écriture datée du 8 décembre 2000, B.________ interjette un recours de droit administratif contre le jugement cantonal, dans les termes suivants : "je recours (...), m'estimant gravement lésé par mon assurance SUPRA à Lausanne"; que par la suite, il a fait parvenir au Tribunal fédéral des assurances les pièces qu'il avait déposées en procédure cantonale, lesquelles lui avaient été restituées par les premiers juges; que selon l' art. 108 al. 2 OJ , le recours de droit administratif doit indiquer notamment les conclusions et les motifs du recourant; que cette exigence a pour but de fixer le juge sur la nature et l'objet du litige; que la jurisprudence admet que les conclusions et les motifs résultent implicitement du mémoire de recours; qu'il faut cependant pouvoir déduire de ce dernier, considéré dans son ensemble, à tout le moins ce que le recourant demande d'une part, et quels sont les faits sur lesquels il se fonde d'autre part; qu'il n'est pas nécessaire que la motivation soit pertinente, mais qu'elle doit se rapporter au litige en question; que le simple renvoi à des écritures antérieures ou à l'acte attaqué ne suffit pas; que s'il manque soit des conclusions, soit des motifs, même implicites, le recours de droit administratif est irrecevable d'entrée de cause, sans que le recourant ait la faculté de remédier à cette irrégularité ( ATF 123 V 336 consid. 1a et les références); qu'en l'espèce, l'écriture du 8 décembre 2000, complétée par l'envoi de pièces déjà soumises au premiers juges, ne répond manifestement pas aux exigences de l' art. 108 al. 2 OJ , de sorte que le recours est irrecevable, par ces motifs, le Tribunal fédéral des assurances, statuant selon la procédure simplifiée prévue à l' art. 36a OJ , prononce : I. Le recours est irrecevable. II. Il n'est pas perçu de frais de justice. III. Le présent arrêt sera communiqué aux parties, au Tribunal des assurances du canton de Vaud et à l'Office fédéral des assurances sociales. Lucerne, le 6 février 2001 Au nom du Tribunal fédéral des assurances p. le Président de la IIe Chambre :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