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186/05 vom 5. Januar 2007</w:t>
      </w:r>
    </w:p>
    <w:p>
      <w:r>
        <w:t>Bundesgericht, 2007-01-05, FR</w:t>
      </w:r>
    </w:p>
    <w:p>
      <w:r>
        <w:rPr>
          <w:b/>
        </w:rPr>
        <w:t xml:space="preserve">Quelle: </w:t>
      </w:r>
      <w:r>
        <w:t>https://mcp.opencaselaw.ch/entscheid/bger_K_186_05</w:t>
      </w:r>
    </w:p>
    <w:p>
      <w:r>
        <w:t>FR: TF K 186/05 du 5 janvier 2007</w:t>
      </w:r>
    </w:p>
    <w:p>
      <w:r>
        <w:t>IT: TF K 186/05 del 5 gennaio 2007</w:t>
      </w:r>
    </w:p>
    <w:p>
      <w:pPr>
        <w:pStyle w:val="Heading2"/>
      </w:pPr>
      <w:r>
        <w:t>Regeste</w:t>
      </w:r>
    </w:p>
    <w:p>
      <w:r>
        <w:t>Assurance-maladie | Assurance-maladie</w:t>
      </w:r>
    </w:p>
    <w:p>
      <w:pPr>
        <w:pStyle w:val="Heading2"/>
      </w:pPr>
      <w:r>
        <w:t>Erwägungen</w:t>
      </w:r>
    </w:p>
    <w:p>
      <w:r>
        <w:rPr>
          <w:b/>
        </w:rPr>
        <w:t>E. 1</w:t>
      </w:r>
    </w:p>
    <w:p>
      <w:r>
        <w:t>La loi fédérale sur le Tribunal fédéral du 17 juin 2005 (LTF; RS 173.110) est entrée en vigueur le 1er janvier 2007 (RO 2006 1205, 1245). L'acte attaqué ayant été rendu avant cette date, la procédure reste régie par l'OJ ( art. 132 al. 1 LTF ; ATF 132 V [I 618/06] consid. 1.2).</w:t>
      </w:r>
    </w:p>
    <w:p>
      <w:r>
        <w:rPr>
          <w:b/>
        </w:rPr>
        <w:t>E. 2</w:t>
      </w:r>
    </w:p>
    <w:p>
      <w:r>
        <w:t>Les recours de droit administratif sont dirigés contre le même jugement, reposent sur le même état de fait et opposent les mêmes parties. Il se justifie dès lors de les liquider dans un seul arrêt ( ATF 127 V 33 consid. 1).</w:t>
      </w:r>
    </w:p>
    <w:p>
      <w:r>
        <w:rPr>
          <w:b/>
        </w:rPr>
        <w:t>E. 3.1</w:t>
      </w:r>
    </w:p>
    <w:p>
      <w:r>
        <w:t>Selon l' art. 128 OJ , le Tribunal fédéral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(cf. aussi l' art. 49 al. 1 LPGA ; ATF 130 V 391 consid. 2.3).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En ce qui concerne les décisions incidentes, l' art. 5 al. 2 PA renvoie à l' art. 45 PA , de sorte que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128 V 201 consid. 2a, 124 V 85 consid. 2 et les références). Enfin, on rappellera que, selon l' art. 114 al. 1 OJ , le Tribunal fédéral ne peut aller au-delà des conclusions des parties, à l'avantage ou au détriment de celles-ci, et qu'il n'est pas lié par les motifs que les parties invoquent lorsque le litige ne porte pas sur l'octroi ou le refus de prestations d'assurance.</w:t>
      </w:r>
    </w:p>
    <w:p>
      <w:r>
        <w:rPr>
          <w:b/>
        </w:rPr>
        <w:t>E. 3.2</w:t>
      </w:r>
    </w:p>
    <w:p>
      <w:r>
        <w:t>Sur le fond, le litige qui oppose les assurés à leur caisse-maladie porte sur l'augmentation de la prime mensuelle de l'assurance obligatoire des soins à partir du 1er janvier 2003. Dans un arrêt paru aux ATF 131 V 66 (en particulier 75 consid. 5.3), le Tribunal fédéral des assurances a jugé que dans le cadre du contrôle d'une clause tarifaire de l'assurance-maladie obligatoire, il doit examiner si la clause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 En ce qui concerne l'administration des preuves, le Tribunal fédéral des assurances a par ailleurs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peuvent s'appuyer sur le témoignage (écrit ou oral) de l'organe de révision ( art. 86 OAMal ), dont l'indépendance est présumée de par la loi ( ATF 131 V 76 consid. 5.3).</w:t>
      </w:r>
    </w:p>
    <w:p>
      <w:r>
        <w:rPr>
          <w:b/>
        </w:rPr>
        <w:t>E. 3.3.1</w:t>
      </w:r>
    </w:p>
    <w:p>
      <w:r>
        <w:t>En l'espèce, la juridiction cantonale a ordonné à Concordia la production de « toutes pièces utiles établissant, pour les charges et les produits, (qu'a été tenue)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étant précisé que cette exigence de comptabilité séparée s'étend également aux frais d'administration » (ordonnance du 20 avril 2005). Concordia a alors produit notamment les « Betriebsrechnungen » adressées à l'OFAS, concernant les années 2000 à 2002, ainsi que les « Erläuterungsberichte an das BSV » établis par X.________, tout en indiquant que ces pièces (no 4 à 9 du chargé) étaient soumises au secret des affaires et mises à la disposition du tribunal seulement. Par son jugement incident du 2 novembre 2005, celui-ci a toutefois autorisé les assurés à consulter l'ensemble des pièces, tout en leur interdisant de lever copies des pièces no 4 à 9 et de divulguer à des tiers les informations recueillies.</w:t>
      </w:r>
    </w:p>
    <w:p>
      <w:r>
        <w:rPr>
          <w:b/>
        </w:rPr>
        <w:t>E. 3.3.2</w:t>
      </w:r>
    </w:p>
    <w:p>
      <w:r>
        <w:t>Concordia fait valoir que les pièces no 4 à 9 contiennent des détails sur des données actuarielles et comptables importantes susceptibles d'intéresser les assureurs-maladie concurrents. Il existe donc un risque réel que ces données, qui relèvent de ses secrets d'affaires, parviennent à la connaissance de concurrents à l'occasion de la consultation des pièces en cause par les assurés. Comme l'allègue Concordia, la possibilité conférée aux assurés de consulter des comptes qui contiennent des secrets d'affaires de l'assureur-maladie risque d'emblée de porter atteinte à ses droits. Aussi, doit-on admettre que le jugement attaqué, qui autorise les assurés à consulter notamment les pièces no 4 à 9 du chargé de pièces de Concordia, est susceptible de causer un préjudice irréparable à celle-ci. Dès lors, le recours de Concordia est recevable séparément d'avec le fond.</w:t>
      </w:r>
    </w:p>
    <w:p>
      <w:r>
        <w:rPr>
          <w:b/>
        </w:rPr>
        <w:t>E. 3.3.3</w:t>
      </w:r>
    </w:p>
    <w:p>
      <w:r>
        <w:t>De leur côté, les assurés font valoir que les restrictions apportées par le jugement attaqué sont inadmissibles. Toutefois, on ne voit pas que l'interdiction de lever copies des pièces no 4 à 9 du dossier et de divulguer à des tiers les informations recueillies risque d'emblée de porter atteinte aux droits des intéressés. D'ailleurs, ceux-ci ne soutiennent pas que ces restrictions leur causent un préjudice irréparable. Ils se contentent, en effet, d'alléguer que la procédure contradictoire exige la connaissance intégrale du dossier, exigence qui ne saurait être mise en péril par les restrictions imposées par le jugement attaqué. Les assurés ne peuvent donc se prévaloir en l'état d'un préjudice irréparable, de sorte que leurs recours sont irrecevables.</w:t>
      </w:r>
    </w:p>
    <w:p>
      <w:r>
        <w:rPr>
          <w:b/>
        </w:rPr>
        <w:t>E. 4.1</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 art. 61 let .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Pour ce faire, elle doit prendre en considération tous les intérêts en présence et mettre en oeuvre les moyens dont elle dispose pour éviter, par exemple, que des données confidentielles soient communiquées à un concurrent.</w:t>
      </w:r>
    </w:p>
    <w:p>
      <w:r>
        <w:rPr>
          <w:b/>
        </w:rPr>
        <w:t>E. 4.2</w:t>
      </w:r>
    </w:p>
    <w:p>
      <w:r>
        <w:t>En l'espèce, on ne voit pas que l'audition de l'organe de révision de Concordia n'eût point permis à la juridiction cantonale de se prononcer en connaissance de cause sur le litige opposant les assurés à leur caisse-maladie au sujet de l'augmentation de la prime mensuelle de l'assurance obligatoire des soins. En l'état, la production et l'autorisation conférée aux assurés de consulter les pièces no 4 à 9 du chargé de pièces de Concordia ne sont pas en proportion avec le litige dans le cas concret ni avec la retenue que s'impose le juge en matière de contrôle d'une clause tarifaire de l'assurance-maladie. Les griefs de Concordia doivent dès lors être admis et son recours se révèle ainsi bien fondé.</w:t>
      </w:r>
    </w:p>
    <w:p>
      <w:r>
        <w:rPr>
          <w:b/>
        </w:rPr>
        <w:t>E. 5</w:t>
      </w:r>
    </w:p>
    <w:p>
      <w:r>
        <w:t>La procédure est onéreuse ( art. 134 OJ a contrario), de sorte que les assurés - qui succombent aussi bien en tant que recourants qu'intimés - supporteront les frais de justice (art. 156 al. 1 en liaison avec l' art. 135 OJ ). Concordia, qui a conclu à l'octroi de dépens, ne saurait toutefois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