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178/05 vom 23. Dezember 2005</w:t>
      </w:r>
    </w:p>
    <w:p>
      <w:r>
        <w:t>Bundesgericht, 2005-12-23, FR</w:t>
      </w:r>
    </w:p>
    <w:p>
      <w:r>
        <w:rPr>
          <w:b/>
        </w:rPr>
        <w:t xml:space="preserve">Quelle: </w:t>
      </w:r>
      <w:r>
        <w:t>https://mcp.opencaselaw.ch/entscheid/bger_K_178_05</w:t>
      </w:r>
    </w:p>
    <w:p>
      <w:r>
        <w:t>FR: TF K 178/05 du 23 décembre 2005</w:t>
      </w:r>
    </w:p>
    <w:p>
      <w:r>
        <w:t>IT: TF K 178/05 del 23 dicembre 2005</w:t>
      </w:r>
    </w:p>
    <w:p>
      <w:pPr>
        <w:pStyle w:val="Heading2"/>
      </w:pPr>
      <w:r>
        <w:t>Regeste</w:t>
      </w:r>
    </w:p>
    <w:p>
      <w:r>
        <w:t>Assurance-maladie | Assurance-maladie</w:t>
      </w:r>
    </w:p>
    <w:p>
      <w:pPr>
        <w:pStyle w:val="Heading2"/>
      </w:pPr>
      <w:r>
        <w:t>Erwägungen</w:t>
      </w:r>
    </w:p>
    <w:p>
      <w:r>
        <w:rPr>
          <w:b/>
        </w:rPr>
        <w:t>E. 1.1</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du droit cantonal se trouvant dans un rapport très étroit avec le droit fédéral dont la violation est invoquée dans le cadre du recours de droit administratif ( ATF 131 V 206 consid. 3.1 et les références). En revanche, c'est la voie du recours de droit public qui est ouverte contre des décisions fondées sur le droit cantonal autonome, ne présentant pas de rapport de connexité suffisamment étroit avec l'application du droit public de la Confédération.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Enfin, la voie du recours de droit administratif n'est pas ouverte pour le seul motif que la décision attaquée violerait le droit fédéral ou que le recourant invoque une violation de ce droit ( ATF 131 V 207 consid. 3.1 et les références).</w:t>
      </w:r>
    </w:p>
    <w:p>
      <w:r>
        <w:rPr>
          <w:b/>
        </w:rPr>
        <w:t>E. 1.2</w:t>
      </w:r>
    </w:p>
    <w:p>
      <w:r>
        <w:t>L'octroi, par le canton de Genève, de subsides au titre de la réduction des primes de l'assurance-maladie est prévu aux art. 19 à 34 de la loi cantonale genevoise d'application de la loi fédérale sur l'assurance maladie (LaLAMal; RS GE : J 3 05). Selon l'art. 19 al. 1 LaLAMal, l'Etat de Genève accorde des subsides destinés à la couverture totale ou partielle des primes de l'assurance-maladie des assurés de condition économique modeste. Les art. 19 ss LaLAMal sont des dispositions d'application des art. 65 et 65a LAMal . Aux termes de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C'est pourquoi un prononcé cantonal de dernière instance qui violerait ces règles ne peut pas, en principe, être déféré au Tribunal fédéral des assurances par la voie du recours de droit administratif (art. 97 ss, en relation avec l' art. 128 OJ ). En revanche, un tel prononcé peut être attaqué par la voie du recours de droit public au Tribunal fédéral ( ATF 131 V 207 /208 consid. 3.2 et la référence).</w:t>
      </w:r>
    </w:p>
    <w:p>
      <w:r>
        <w:rPr>
          <w:b/>
        </w:rPr>
        <w:t>E. 2</w:t>
      </w:r>
    </w:p>
    <w:p>
      <w:r>
        <w:t>Cela étant, il n'y a pas lieu d'entrer en matière sur le recours de droit administratif. L'écriture de la recourante doit cependant être transmise au Tribunal fédéral ( art. 96 al. 1 OJ ) en tant que recours de droit public. A cette écriture sera jointe la réponse de l'intimé qui a conclu non seulement à l'irrecevabilité du recours, mais a également pris des conclusions sur le fond.</w:t>
      </w:r>
    </w:p>
    <w:p>
      <w:r>
        <w:rPr>
          <w:b/>
        </w:rPr>
        <w:t>E. 3</w:t>
      </w:r>
    </w:p>
    <w:p>
      <w:r>
        <w:t>Un litige portant sur la réduction des primes d'assurance-maladie ne concerne pas l'octroi ou le refus de prestations d'assurance, de sorte que la procédure n'est pas gratuite ( art. 134 OJ a contrario). En l'espèce, il n'y a toutefois pas lieu de mettre des frais de justice à la charge de la recourante, dès lors qu'elle a interjeté recours de droit administratif en se conformant à l'indication erronée des voies de droit figurant dans le jugement cantonal ( ATF 131 V 209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