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176/00 vom 3. Mai 2001</w:t>
      </w:r>
    </w:p>
    <w:p>
      <w:r>
        <w:t>Bundesgericht, 2001-05-03, DE</w:t>
      </w:r>
    </w:p>
    <w:p>
      <w:r>
        <w:rPr>
          <w:b/>
        </w:rPr>
        <w:t xml:space="preserve">Quelle: </w:t>
      </w:r>
      <w:r>
        <w:t>https://mcp.opencaselaw.ch/entscheid/bger_K_176_00</w:t>
      </w:r>
    </w:p>
    <w:p>
      <w:r>
        <w:t>FR: TF K 176/00 du 3 mai 2001</w:t>
      </w:r>
    </w:p>
    <w:p>
      <w:r>
        <w:t>IT: TF K 176/00 del 3 maggio 2001</w:t>
      </w:r>
    </w:p>
    <w:p>
      <w:pPr>
        <w:pStyle w:val="Heading2"/>
      </w:pPr>
      <w:r>
        <w:t>Regeste</w:t>
      </w:r>
    </w:p>
    <w:p>
      <w:r>
        <w:t>Krankenversicherung</w:t>
      </w:r>
    </w:p>
    <w:p>
      <w:pPr>
        <w:pStyle w:val="Heading2"/>
      </w:pPr>
      <w:r>
        <w:t>Erwägungen</w:t>
      </w:r>
    </w:p>
    <w:p>
      <w:r>
        <w:rPr>
          <w:b/>
        </w:rPr>
        <w:t>E. 1</w:t>
      </w:r>
    </w:p>
    <w:p>
      <w:r>
        <w:t>Da den Verwaltungsgerichtsbeschwerden der Roche und des EDI der selbe Sachverhalt zu Grunde liegt, sich die gleichen Rechtsfragen stellen und die Rechtsmittel sich gegen den nämlichen Entscheid der Eidgenössischen Rekurskommission für die Spezialitätenliste richten, rechtfertigt es sich, die beiden Verfahren zu vereinigen und in einem Urteil zu erledigen ( BGE 123 V 215 Erw. 1, 120 V 466 Erw. 1 mit Hinweisen; Poudret, Commentaire de la loi fédérale d'organisation judiciaire, Bd. 1, S. 343 unten f.).</w:t>
      </w:r>
    </w:p>
    <w:p>
      <w:r>
        <w:rPr>
          <w:b/>
        </w:rPr>
        <w:t>E. 2</w:t>
      </w:r>
    </w:p>
    <w:p>
      <w:r>
        <w:t>Vorweg und von Amtes wegen zu prüfen ist die von der Roche bestrittene Legitimation des Konkordates und der Sanitas zur Beschwerde gegen die vom BSV am 28. Juni 1999 verfügte Aufnahme (unter Limitationen) des Antiadipositums XENICAL in die Spezialitätenliste ( BGE 123 V 283 Erw. 1, 119 V 12 Erw. 1b, 114 V 95 Erw. 2). Diese Frage beurteilt sich nach den einschlägigen Bestimmungen des Bundesgesetzes über das Verwaltungsverfahren (VwVG) im Rahmen der Verordnung vom 3. Februar 1993 über Organisation und Verfahren eidgenössischer Rekurs- und Schiedskommissionen (SR 173. 31; BGE 122 V 412 ).</w:t>
      </w:r>
    </w:p>
    <w:p>
      <w:r>
        <w:rPr>
          <w:b/>
        </w:rPr>
        <w:t>E. 3</w:t>
      </w:r>
    </w:p>
    <w:p>
      <w:r>
        <w:t>Nach Art. 48 VwVG ist zur Beschwerde berechtigt, wer durch die angefochtene Verfügung berührt ist und ein schutzwürdiges Interesse an deren Aufhebung oder Änderung hat (lit. a); jede andere Person, Organisation oder Behörde, die das Bundesrecht zur Beschwerde ermächtigt (lit. b). Da keine bundesrechtliche Norm Krankenversicherer oder deren Verbände, insbesondere das Konkordat, zur Beschwerde an die Eidgenössische Rekurskommission für die Spezialitätenliste ermächtigt, ist deren bestrittene Legitimation nach Massgabe von Art. 48 lit. a VwVG zu prüfen. Nach der Rechtsprechung kommt dieser Bestimmung der gleiche Gehalt zu wie dem für die Verwaltungsgerichtsbeschwerde an das Bundesgericht oder an das Eidgenössische Versicherungsgericht massgebenden Art. 103 lit. a OG ( BGE 124 II 504 Erw. 3b, 124 V 397 Erw. 2a am Ende mit Hinweis). a) aa) Als schutzwürdig im Sinne von Art. 103 lit. a OG gilt jedes praktische oder rechtliche Interesse, welches eine von der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der angefochtene Entscheid mit sich bringen würde. Das rechtliche oder auch bloss tat- sächliche Interesse braucht somit mit dem Interesse, das durch die als verletzt bezeichnete Norm geschützt wird, nicht übereinzustimmen. Immerhin wird verlangt, dass der Beschwerdeführer durch die angefochtene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 BGE 124 II 504 f. Erw. 3b, 304 Erw. 3b, 124 V 397 f. Erw. 2b, 123 V 315 f. Erw. 3b, je mit Hinweisen). Das Beschwerderecht von (privaten) Verbänden beurteilt sich grundsätzlich nach den gleichen Regeln ( BGE 106 V 188 Erw. 1). Fehlt es an einem eigenen schutzwürdigen Interesse, ist ein Verband unter Umständen trotzdem zur Beschwerdeerhebung befugt, nämlich wenn er als juristische Person konstituiert ist, nach den Statuten die in Frage stehenden Interessen der Mitglieder zu vertreten hat und wenn deren Mehrheit oder doch eine Grosszahl von ihnen selbst zur Einreichung einer Beschwerde legitimiert wäre (sog. "egoistische Verbandsbeschwerde", vgl. Isabelle Häner, Die Beteiligten im Verwaltungsverfahren und Verwaltungsprozess, Zürich 2000, S. 361 ff. sowie Kölz/Häner, Verwaltungsverfahren und Verwaltungsrechtspflege des Bundes, 2. Aufl. , Zürich 1998, S. 202 f.; RKUV 1987 Nr. K 732 S. 196 Erw. 1b mit Hinweisen; BGE 121 II 46 Erw. 2d/aa; kritisch zum Begriff "egoistische" Verbandsbeschwerde Rhinow/Koller/Kiss, Öffentliches Prozessrecht und Justizverfassungsrecht des Bundes, Basel/Frankfurt a.M. 1996, S. 245 Rz 1280). bb) Art. 48 lit. a VwVG und Art. 103 lit. a OG umschreiben den Regelfall der Beschwerdeberechtigung priva- ter natürlicher oder juristischer Personen, die von einem staatlichen Hoheitsakt betroffen sind und eine Verfügung oder einen Entscheid anfechten wollen (Individual- und "egoistische" Verbandsbeschwerde im Unterschied zur - hier ausser Betracht fallenden - Behördenbeschwerde gemäss Art. 48 lit. b VwVG und Art. 103 lit. b OG ). Aus der allgemeinen Staatsverwaltung ausgegliederte Körperschaften oder Anstalten (Organe der mittelbaren Staatsverwaltung), wozu auch Versicherungseinrichtungen als Durchführungsorgane der sozialen Krankenversicherung (obligatorische Krankenpflegeversicherung und freiwillige Taggeldversicherung [ Art. 1 Abs. 1 KVG ]) zählen ( Art. 13 Abs. 1 KVG ), können das Individualbeschwerderecht insbesondere dort in Anspruch nehmen, wo sie von staatlichem Handeln wie ein Privater berührt sind. Dabei geht es in erster Linie um Anordnungen, die sich auf das Finanz- oder Verwaltungsvermögen der Körperschaft oder Anstalt auswirken und zwar konkret und als direkte Folge des angefochtenen Aktes. Hingegen genügt das blosse öffentliche Interesse an der richtigen Durchführung des Bundesrechts nicht (vgl. BGE 123 V 116 Erw. 5a, 114 V 95 f. Erw. 2a und 100 Erw. 3e). Für die Beurteilung der Beschwerdelegitimation der öffentlichrechtlichen Körperschaft oder Anstalt von entscheidender Bedeutung ist, inwiefern das Gesetz ihr im fraglichen Regelungsbereich eine Autonomie einräumt oder nicht ( BGE 124 V 398 Erw. 2b in fine mit Hinweis auf Rechtsprechung und Lehre; Kölz/Häner, a.a.O., S. 203 ff.; vgl. auch Häner, Bemerkungen zum Urteil des Eidgenössischen Versicherungsgerichts vom 12. März 1999 in Sachen Visana gegen EDI [K 164/98, teilweise publiziert in BGE 125 V 80 ], in: AJP 1999 S. 1149 ff.). b) Nach Auffassung der Rekurskommission verfügen die Krankenversicherer im Bereich der medizinischen Leistungen über einen gewissen Handlungsspielraum (Teilautonomie) in finanzieller Hinsicht. Diese ergebe sich sinngemäss daraus, dass sie bei einer stationären Spitalbehandlung oder einer ambulanten Arztbehandlung im Einzelfall beispielsweise eine vorgeschlagene Therapie ablehnen könnten, wenn die Kriterien der Wirksamkeit, Zweckmässigkeit und Wissenschaftlichkeit der Leistung gemäss Art. 32 Abs. 1 KVG nicht kumulativ erfüllt seien. Umgekehrt könnten sie im Rahmen der Verhältnismässigkeit von zwei in Betracht fallenden Behandlungen die Kosten der teureren übernehmen, wenn diese sich als die zweckmässigere und wirksamere erweise. In diesem Sinne stelle nun aber jede Erweiterung der Spezialitätenliste wegen der damit verbundenen zwangsläufigen Kostenübernahmepflicht einen Eingriff in den Entscheidungsspielraum der Krankenversicherer in den anderen Leistungsbereichen (stationäre Spitalbehandlung und ambulante Arztbehandlung) dar. Sie seien daher als materielle Verfügungsadressaten durch die angefochtene Aufnahme von XENICAL in die Spezialitätenliste ähnlich wie eine Privatperson betroffen und hätten daher ein schutzwürdiges finanzielles Interesse an der Streichung dieses Präparates aus der Spezialitätenliste. Dieser Beurteilung stehe, entgegen Roche und Bundesamt, BGE 124 V 393 nicht entgegen. Zum einen liege jenem Entscheid ein anderer Sachverhalt zu Grunde, nämlich der vom EDI am 16. September 1998 gegenüber der Visana mit Auflagen verfügte Entzug der Bewilligung zur Durchführung der sozialen Krankenversicherung in acht Kantonen und das in diesem Zusammenhang von drei Krankenversicherern gestellte Gesuch um Akteneinsicht und rechtliches Gehör. Zum andern stehe den Versicherern im Bereich der medizinischen Leistungen durchaus ein gewisser finanzieller Spielraum (im dargelegten Sinne) zu. Dass es sich hiebei in Bezug auf die Aufnahme von Präparaten in die Spezialitätenliste lediglich um eine "bedingte" Gestaltungsfreiheit handle, sei nicht entscheidend. So habe das Eidgenössische Versicherungsgericht beispielsweise in BGE 123 V 113 einer Gemeinde, die nach kantonalem Recht zur Bezahlung der Mindestbeiträge im Erlassfall verpflichtet war, das Recht zur Anfechtung einer entsprechenden Verfügung der Ausgleichskasse zuerkannt, und dies obschon das Gemeinwesen "in finanzieller Hinsicht mitnichten über eine Autonomie und Gestaltungsfreiheit verfügt, wie sie einer Privatperson zusteht". Es komme dazu, dass bei Gemeinden und auch Krankenversicherern das Sachziel das Gewinnziel in aller Regel dominiere (u.a. Gewinnausschüttungsverbot), sodass jenes bei der Frage des schutzwürdigen Interesses stets mit einzubeziehen sei. Sachziel der obligatorischen Krankenpflegeversicherung und damit ihrer Durchführungs- organe im Allgemeinen (vgl. Art. 43 Abs. 6 KVG ) und im Bereich der Spezialitätenliste im Besonderen ( Art. 67 Abs. 1 KVV ) sei eine qualitativ hoch stehende und zweckmässige Gesundheitsversorgung zu möglichst günstigen Kosten. Mit der Aufnahme von XENICAL in die Spezialitätenliste seien daher die Krankenversicherer neben den finanziellen Folgen auch in Bezug auf diese Zielsetzung unmittelbar, konkret und ähnlich wie eine private Person betroffen. c) aa) Ob es sich beim vorstehend umschriebenen Entscheidungsspielraum der Krankenversicherer bei der Kostenübernahme im medizinischen Leistungsbereich im Einzelfall um eine Autonomie handelt, welche im Sinne der Rechtsprechung eine wesentliche Bedingung darstellt, um ihnen im Falle der vom BSV als zuständigen Behörde ( Art. 52 Abs. 1 lit. b KVG ) verfügten Aufnahme eines Präparates in die Spezialitätenliste allenfalls den Beschwerdeweg zu öffnen, ist zweifelhaft. Berechtigung und Verpflichtung zur Prüfung der Wirksamkeit, Zweckmässigkeit und Wirtschaftlichkeit der Leistungen ( Art. 32 Abs. 1 KVG ) ergeben sich aus dem Gesetz und bezwecken, wie auch die Rekurskommission richtig erkannt hat, die Sicherstellung einer qualitativ hoch stehenden und zweckmässigen Gesundheitsversorgung zu möglichst günstigen Kosten. An diesem Ziel haben sich indessen alle Akteure im Bereich der obligatorischen Krankenpflegeversicherung, neben den Versicherern insbesondere auch die Leistungserbringer sowie die Tarifgenehmigungsbehörden, zu orientieren. Dies zu erreichen liegt nicht zuletzt im Inte- resse aller Versicherten, sei es als Leistungsbezüger, sei es als Prämienzahler. Insofern kann dem "autonomen" Handeln der Krankenversicherer bei der Prüfung der Kostenübernahmepflicht im Einzelfall weder eine über die richtige Gesetzesanwendung hinausgehende Bedeutung beigemessen werden, noch ist unter finanziellem Gesichtswinkel eine besondere Nähe der Durchführungsorgane zum Gegenstand der angefochtenen Verfügung (Aufnahme [unter Limitationen] von XENICAL in die Spezialitätenliste) auszumachen. Dabei kann offen bleiben, in welcher Grössenordnung die obligatorische Krankenpflegeversicherung dadurch insgesamt, d.h. unter Berücksichtigung allfälliger Einsparungen in anderen Bereichen (geringere Kosten für die Behandlung von Folgeerkrankungen), und die Sanitas im Besonderen belastet werden, da sich dies in gleichem Sinne allenfalls auf die Prämienhöhe auswirkt. Soweit im Übrigen auch allgemeine gesundheitspolitische Motive zu Gunsten der Krankenversicherer angeführt werden können, genügen solche nicht, um ein schutzwürdiges Interesse zu begründen, wie die Roche unter Hinweis auf BGE 113 Ib 367 Erw. 3d zutreffend festhält. bb) Im Weitern erscheint fraglich, ob überhaupt, wie die Rekurskommission annimmt, die Krankenversicherer auf Grund ihrer Verpflichtung zur Kostenübernahme als materielle Verfügungsadressaten im eigentlichen Sinne zu bezeichnen sind. Die Aufnahme von XENICAL in die Spezialitätenliste ist zwar in Form einer Verfügung im Sinne von Art. 5 VwVG erfolgt. Dieser Verwaltungsakt erlangt aber erst und überdies für eine mögliche Vielzahl künftiger Sachverhalte Bedeutung, wenn in einem konkreten Fall bei gegebener Indikation die Kosten vom jeweiligen Versicherer zu übernehmen sind, ohne dass es hiefür einer ausdrücklichen positiven Anordnung bedarf. Es besteht insofern kein grundsätzlicher Unterschied zu den vom EDI bezeichneten und im Anhang 1 zur Krankenpflege-Leistungsverordnung (KLV) aufgeführten, von Ärzten und Ärztinnen oder von Chiropraktoren und Chiropraktorinnen erbrachten Leistungen, deren Kosten ganz oder teilweise, allenfalls unter bestimmten Bedingungen von der obligatorischen Krankenpflegeversicherung übernommen werden (vgl. Art. 33 KVG und Art. 33 KVV sowie Art. 1 KLV ). Die Betroffenheit sowohl in finanzieller Hinsicht als auch bezogen auf das "Sachziel" einer qualitativ hoch stehenden und zweckmässigen Gesundheitsversorgung zu möglichst günstigen Kosten durch die Aufnahme eines Präparates in die Spezialitätenliste ist somit nicht anders zu werten als im übrigen Leistungsbereich. Dass die Spezialitätenliste, anders als der erwähnte Leistungskatalog oder auch die vom Departement nach Art. 52 Abs. 1 lit. a KVG zu erlassenden Listen, nicht in einer Verordnung enthalten ist, rührt im Wesentlichen daher, dass das Gesetz dem BSV keine solche Befugnis einräumt. Daraus kann indessen nicht gefolgert werden, der Gesetzgeber habe gleichzeitig mit der Ermächtigung des Bundesamtes zur Erstellung der Spezialitätenliste ( Art. 52 Abs. 1 lit. b KVG ) auch von der Aufnahme eines Präparates Betroffenen (u.a. Krankenversicherer und andere Pharmaunternehmen) das Recht zur Beschwerde gegen diese Anordnung einräumen wollen. Gegen diese Annahme spricht neben dem Fehlen von entsprechenden Hinweisen in den Gesetzesmaterialien (vgl. Botschaft vom 6. November 1991 über die Revision der Krankenversicherung [BBl 1992 I 93 ff., 187 f. und 272] sowie Amtl. Bull. 1992 S 1316 f., 1993 N 1862 f., 1993 S 1076), dass die Kompetenz zum Erlass näherer (materieller) Vorschriften über die Erstellung der Spezialitätenliste (u.a. Kriterien zur Beurteilung der Wirksamkeit) im Rahmen von Gesetz und Verordnung beim Departement liegt ( Art. 65 Abs. 3 und Art. 75 KVV sowie Art. 30 ff. KLV ). Mit anderen Worten ist es nach dem Willen von Gesetz- und Verordnungsgeber letztlich Aufgabe des EDI, dafür zu sorgen, dass auch im Bereich der Spezialitätenliste das "Sachziel" der Sicherstellung einer qualitativ hoch stehenden und zweckmässigen Gesundheitsversorgung zu möglichst günstigen Kosten erreicht wird. cc) Zu beachten ist schliesslich, dass im Unterschied zum alten Recht insofern kein finanzieller Entscheidungsspielraum der Krankenversicherer mehr besteht, als mit dem Wegfall der Bundesbeiträge an die anerkannten Krankenkassen und dem neu verpflichtenden und nicht mehr bloss empfehlenden Charakter der Spezialitätenliste sich die Frage der Vergütung der Kosten eines Arzneimittels zu den dort festgesetzten Preisen unter dem Aspekt der bei Ablehnung greifenden Sanktion der Beitragskürzung nicht mehr stellt (vgl. BGE 109 V 215 Erw. 4c und 220 Erw. 5c am Ende). dd) Das auf Grund dieser Erwägungen fehlende schutzwürdige Interesse der Sanitas an der Anfechtung der vom BSV verfügten Aufnahme (unter Limitationen) von XENICAL in die Spezialitätenliste lässt sich schliesslich nicht mit BGE 123 V 113 begründen. Dieses Urteil ist, wie die Roche richtig festhält, für den hier zu beurteilenden Fall nicht einschlägig. d) Aus den selben Überlegungen wie für den einzelnen Krankenversicherer muss auch das Beschwerderecht des Konkordates mangels eines schutzwürdigen Interesse im Sinne von Art. 48 lit. a VwVG verneint werden. e) Die vorstehenden Überlegungen zeigen, dass die fehlende Beschwerdelegitimation der Sanitas und des KSK letztlich Ausfluss des Leistungs- und Finanzierungssystems der obligatorischen Krankenpflegeversicherung ist. Danach obliegt es den vom Gesetz für zuständig erklärten Behörden (Bundesrat, Departement oder Bundesamt [ Art. 33 und Art. 52 Abs. 1 KVG ]), diejenigen Leistungen zu bezeichnen, deren Kosten zu vergüten sind. Der Wirkungsbereich der Krankenversicherer ist abgesehen von dem die Arzneimittel nicht erfassenden Tarifwesen (vgl. Art. 43 ff. KVG ) und der Vertretung in den beratenden Kommissionen gemäss Art. 33 Abs. 4 KVG (und Expertenkommissionen im Rahmen von Gesetzgebungsprojekten) im Wesentlichen auf die Prüfung der Voraussetzungen für die Vergütung der Kosten von Leistungen im Einzelfall (u.a. medizinische Indikation, Wirksamkeit und Zweckmässigkeit) eingeschränkt. Auf der anderen Seite haben sie die Prämien so festzusetzen, dass die Finanzierung der im Rahmen der obligatorischen Krankenpflegeversicherung zu übernehmenden Kosten gewährleistet ist. Dabei ist diese Zielsetzung ausser den auch hier geltenden betriebs- und volkswirtschaftlichen Regeln grundsätzlich keiner Einschränkung unterworfen etwa im Sinne eines absoluten Prämienvolumendaches. Mit dieser Konzeption nicht vereinbar wäre, den Krankenversicherern das Recht zur Beschwerde gegen die Aufnahme von Arzneimitteln in die Spezialitätenliste letztlich einzig deshalb zuzugestehen, weil die Anordnung in Form einer Verfügung ergeht.</w:t>
      </w:r>
    </w:p>
    <w:p>
      <w:r>
        <w:rPr>
          <w:b/>
        </w:rPr>
        <w:t>E. 4</w:t>
      </w:r>
    </w:p>
    <w:p>
      <w:r>
        <w:t>Als Ergebnis ist festzuhalten, dass die Rekurskommission mit der Feststellung der fehlenden Legitimation nicht auf die Beschwerde des Konkordates und der Sanitas hätte eintreten und das Streichungsbegehren materiell behandeln dürfen (vgl. BGE 123 V 289 Erw. 6e). Der angefochtene Entscheid ist daher aufzuheben.</w:t>
      </w:r>
    </w:p>
    <w:p>
      <w:r>
        <w:rPr>
          <w:b/>
        </w:rPr>
        <w:t>E. 5</w:t>
      </w:r>
    </w:p>
    <w:p>
      <w:r>
        <w:t>Das Verfahren ist kostenpflichtig ( Art. 134 OG e contrario). Dem Prozessausgang entsprechend sind die Gerichtskosten dem Konkordat und der Sanitas zu gleichen Teilen unter Solidarhaft aufzuerlegen ( Art. 156 Abs. 1 und 7 OG in Verbindung mit Art. 135 OG ). Diese haben überdies der Roche eine Parteientschädigung für das letztinstanzliche Verfahren zu entrichten ( Art. 159 Abs. 1 und 2 OG ). Demnach erkennt das Eidg. Versicherungsgericht: I.Die Verwaltungsgerichtsbeschwerden der Roche Pharma (Schweiz) AG und des Eidgenössischen Departementes des Innern werden im Sinne der Erwägungen gutgeheissen. II.Der Entscheid der Eidgenössischen Rekurskommission für die Spezialitätenliste vom 28. September 2000 wird aufgehoben. III. Die Gerichtskosten von Fr. 20'000.- werden dem Schweizerischen Konkordat der Krankenversicherer und der Sanitas auferlegt. IV.Der Roche Pharma (Schweiz) AG wird der geleistete Kostenvorschuss rückerstattet. V.Das Schweizerische Konkordat der Krankenversicherer und die Sanitas haben der Roche Pharma (Schweiz) AG für das Verfahren vor dem Eidgenössischen Versicherungsgericht eine Parteientschädigung von Fr. 4000.- (einschliesslich Mehrwertsteuer) zu bezahlen. VI.Die Eidgenössische Rekurskommission für die Spezialitätenliste wird über eine Parteientschädigung für das vorinstanzliche Verfahren entsprechend dem Ausgang des letztinstanzlichen Prozesses zu befinden haben. VII. Dieses Urteil wird den Parteien und der Eidgenössischen Rekurskommission für die Spezialitätenliste zugestellt. Luzern, 3. Mai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