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K_175/2004 vom 15. Juni 2005</w:t>
      </w:r>
    </w:p>
    <w:p>
      <w:r>
        <w:t>Bundesgericht, 2005-06-15, DE</w:t>
      </w:r>
    </w:p>
    <w:p>
      <w:r>
        <w:rPr>
          <w:b/>
        </w:rPr>
        <w:t xml:space="preserve">Quelle: </w:t>
      </w:r>
      <w:r>
        <w:t>https://mcp.opencaselaw.ch/entscheid/bger_K_175_2004</w:t>
      </w:r>
    </w:p>
    <w:p>
      <w:r>
        <w:t>FR: TF K_175/2004 du 15 juin 2005</w:t>
      </w:r>
    </w:p>
    <w:p>
      <w:r>
        <w:t>IT: TF K_175/2004 del 15 giugno 2005</w:t>
      </w:r>
    </w:p>
    <w:p>
      <w:pPr>
        <w:pStyle w:val="Heading2"/>
      </w:pPr>
      <w:r>
        <w:t>Erwägungen</w:t>
      </w:r>
    </w:p>
    <w:p>
      <w:r>
        <w:rPr>
          <w:b/>
        </w:rPr>
        <w:t>E. 1.1</w:t>
      </w:r>
    </w:p>
    <w:p>
      <w:r>
        <w:t>Streitig und zu prüfen ist, ob die CSS für die zahnärztliche Behandlung im Rahmen von Art. 31 Abs. 1 lit. b KVG , Art. 33 Abs. 2 und 5 KVG in Verbindung mit Art. 33 lit. d KVV und Art. 18 lit. c Ziff. 7 KLV kostenvergütungspflichtig ist. Das kantonale Gericht hat diese gesetzlichen Bestimmungen richtig dargelegt; darauf wird verwiesen.</w:t>
      </w:r>
    </w:p>
    <w:p>
      <w:r>
        <w:rPr>
          <w:b/>
        </w:rPr>
        <w:t>E. 1.2</w:t>
      </w:r>
    </w:p>
    <w:p>
      <w:r>
        <w:t>Nach der Rechtsprechung des Eidgenössischen Versicherungsgerichts gilt Bulimie als schwere psychische Erkrankung mit kausaler schwerer Beeinträchtigung der Kaufunktion ( BGE 124 V 353 Erw. 2a). Die Behandlung muss, damit deren Kosten als Pflichtleistung vom Versicherer zu übernehmen sind, nicht nur notwendig, sondern nach Art. 32 Abs. 1 KVG auch wirksam, zweckmässig und wirtschaftlich sein. Daraus ergeben sich Anhaltspunkte dafür, welche zahnärztlichen Leistungen und wann sie zu erbringen sind. In zeitlicher Hinsicht werden in Übereinstimmung mit den Empfehlungen des von der Schweizerischen Zahnärzte-Gesellschaft herausgegebenen Atlasses der Erkrankungen mit Auswirkungen auf das Kausystem (SSO-Atlas, S. 144) zu Beginn in aller Regel Hygiene- und Prophylaxemassnahmen stehen. Was indessen die durch das psychische Leiden verursachten übrigen zahnärztlichen Massnahmen anbelangt, hängt deren zeitliche Priorität von den Umständen des Einzelfalles ab. Dem im SSO-Atlas aufgestellten Grundsatz, dass bei psychisch bedingten schweren Allgemeinerkrankungen wie der Anorexia nervosa und der Bulimie die zahnärztliche Rekonstruktion erst nach der Heilung des Grundleidens zu erfolgen hat, liegt offenbar der grundsätzlich zutreffende Gedanke zugrunde, dass die Rekonstruktion erst einsetzen soll, wenn der Zufluss von Magensäure in die Mundhöhle aufgehört hat und die Rekonstruktion dadurch nicht wieder zunichte gemacht wird. Es sind indessen auch andere Umstände zu berücksichtigen wie z.B. die Behandlung von Zahnschmerzen, mit der nicht einfach zugewartet werden kann, sowie die Erhaltung der Kaufunktion der versicherten Person, ferner auch das Bestreben, solche Schäden zu beheben, die sich verschlimmern und später nur noch mit unverhältnismässig hohen Kosten behoben werden können. Entscheidend ist allein, dass die erforderlichen zahnärztlichen Massnahmen klare Folge der schweren Allgemeinerkrankung sind ( BGE 124 V 354 f. Erw. 2f).</w:t>
      </w:r>
    </w:p>
    <w:p>
      <w:r>
        <w:rPr>
          <w:b/>
        </w:rPr>
        <w:t>E. 1.3</w:t>
      </w:r>
    </w:p>
    <w:p>
      <w:r>
        <w:t>Des Weiteren sind rechtsprechungsgemäss immer die Anforderungen an die zumutbare Schadenminderungspflicht zu beachten. So hat das Eidgenössische Versicherungsgericht in BGE 128 V 59 erkannt, dass Art. 31 Abs. 1 lit. b KVG in Verbindung mit Art. 18 KLV nur bei nicht vermeidbaren Erkrankungen des Kausystems Pflichtleistungen der obligatorischen Krankenversicherung auslöst. Dabei muss nicht die schwere Allgemeinerkrankung, sondern die Kausystemerkrankung unvermeidbar gewesen sein. Vorausgesetzt wird eine objektive Unvermeidbarkeit. Dies verlangt eine nach dem jeweiligen Wissensstand der Zahnheilkunde genügende Mundhygiene. Massgebend ist, ob beispielsweise Karies hätte vermieden werden können, wenn die Mundhygiene genügend gewesen wäre, ohne Rücksicht darauf, ob die versäumte Prophylaxe im Einzelfall als subjektiv entschuldbar zu betrachten ist ( BGE 128 V 62 f. Erw. 4a). In diesem Fall, der eine an Xerostomie infolge einer Speicheldrüsenerkrankung leidende Beschwerdeführerin betraf, hat das Eidgenössische Versicherungsgericht erwogen, es könne nicht entscheidend sein, ob diese eine weniger gute Mundhygiene gehabt habe, als vom Krankenversicherer als nötig und zumutbar erachtet werde, sondern vielmehr, ob die Zahnbehandlungen bei der Speicheldrüsenerkrankung und der dadurch verursachten Mundtrockenheit mit erhöhter Kariesanfälligkeit durch eine genügende und zumutbare Mundhygiene hätten vermieden werden können. Ersteres würde auf eine Sanktionierung der Beschwerdeführerin hinauslaufen, indem sie wegen ungenügender Mundhygiene der Pflichtleistung selbst dann verlustig ginge, wenn die Zahnschäden trotz optimaler, d.h. genügender und zumutbarer Mundhygiene nicht vermeidbar wären. Eine versicherte Person, die auf Grund ihrer Konstitution, durchgemachten Krankheiten oder durchgeführten Zahnbehandlungen eine erhöhte Anfälligkeit für Zahnerkrankungen habe, könne es nicht mit der allgemein üblichen Mundhygiene bewenden lassen. Die Mundhygiene müsse aber in jedem Fall sowohl in der täglichen Durchführung wie auch hinsichtlich des periodischen Ganges zum Zahnarzt und der Dentalhygiene in vernünftigem und zumutbarem Rahmen bleiben ( BGE 128 V 65 Erw. 6c und d).</w:t>
      </w:r>
    </w:p>
    <w:p>
      <w:r>
        <w:rPr>
          <w:b/>
        </w:rPr>
        <w:t>E. 1.4</w:t>
      </w:r>
    </w:p>
    <w:p>
      <w:r>
        <w:t>Zu prüfen ist schliesslich, ob die Schadenminderungspflicht vom psychischen Leiden her wahrgenommen werden kann. Eine Leistungspflicht für eine Beeinträchtigung der Kaufunktion bei schwer psychisch Kranken zufolge Unterbleibens genügender Mundhygiene kann nur bejaht werden, wenn die genügende Mundhygiene aus Gründen der psychischen Krankheit verunmöglicht war. Dies ist etwa dann der Fall,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Ist einem schwer psychisch Kranken die Durchführung einer genügenden Mundhygiene lediglich erschwert, rechtfertigt sich eine Leistungspflicht für eine daraus hervorgegangene schwere Beeinträchtigung der Kaufunktion nicht ( BGE 128 V 70 , 72 f. Erw. 5a; Urteil F. vom 26. April 2002 [K 181/00] Erw. 4).</w:t>
      </w:r>
    </w:p>
    <w:p>
      <w:r>
        <w:rPr>
          <w:b/>
        </w:rPr>
        <w:t>E. 2.1</w:t>
      </w:r>
    </w:p>
    <w:p>
      <w:r>
        <w:t>Das kantonale Gericht misst den vertrauensärztlichen Stellungnahmen des Dr. med. dent. B.________ vom 3. April 2003 und 26. März 2004 entscheidende Bedeutung zu, indem es daraus schliesst, "ein sauberer Zahn könne nicht von Karies befallen werden und Kariesschäden würden auch bei Bulimie grundsätzlich als vermeidbar gelten"; es gebe in den Akten keine ärztliche Aussage, welche dies grundsätzlich widerlegen würde. Die Vorinstanz geht deshalb davon aus, dass Kariesschäden bei der unter Bulimie leidenden Beschwerdeführerin durch gute Mundhygiene objektiv betrachtet vermeidbar gewesen wären. Eine ausreichende Mundhygiene könne ihr jedoch auf Grund der Akten nicht attestiert werden. Selbst der behandelnde Zahnarzt Dr. med. dent. N.________ habe eingeräumt, dass noch so viele Dentalhygiene-Sitzungen nichts helfen würden, wenn die Patientin nicht mitmache.</w:t>
      </w:r>
    </w:p>
    <w:p>
      <w:r>
        <w:rPr>
          <w:b/>
        </w:rPr>
        <w:t>E. 2.2</w:t>
      </w:r>
    </w:p>
    <w:p>
      <w:r>
        <w:t>Dagegen wird in der Verwaltungsgerichtsbeschwerde zutreffend eingewendet, dass bei der Beschwerdeführerin insofern besondere Verhältnisse vorliegen, als zusätzlich zur Bulimie (und ihren Folgen) eine Xerostomie, d.h. eine chronische Mundtrockenheit, ausgewiesen ist (vgl. das Schreiben des Dr. med. dent. N.________ vom 3. Januar 2002). Über deren ursächliche Zusammenhänge zur Bulimie einerseits und zur Karies andererseits besteht indes nach Lage der Akten keine Klarheit. So führte Dr. med. dent. N.________ dazu einzig aus, die Kombination von Bulimie, Medikation und Rauchen führe zur Xerostomie. Gemäss Stellungnahme des Dr. med. dent. B.________ vom 26. März 2004 kann eine Speichelflussverminderung durch Alkohol- oder Nikotinkonsum, aber auch durch die Einnahme von Schlafmitteln, Psychopharmaka und Blutdruck senkenden Medikamenten bedingt sein. Nicht geklärt ist zudem die Frage, ob Kariesschädigungen unter solchen speziellen Verhältnissen objektiv vermeidbar sind (vgl. oben Erw. 1.3). Dr. med. dent. B.________ hat sich dazu nicht geäussert. Seiner Auffassung in der zweiten Stellungnahme vom 26. März 2004, es komme nicht auf "die Verhältnisse des Einzelfalles" an, kann nicht beigepflichtet werden. Es vermag auch nicht zu überzeugen, wenn er die durch die behandelnden Ärzte diagnostizierte Xerostomie u.a. mangels Objektivierung, ohne eigene unmittelbare Kenntnis der konkreten Verhältnisse, in Abrede stellt. Die CSS hätte daher unter den gegebenen Umständen ein zahnmedizinisches Administrativgutachten einholen sollen, zu welchem Zweck die Sache an sie zurückzuweisen ist.</w:t>
      </w:r>
    </w:p>
    <w:p>
      <w:r>
        <w:rPr>
          <w:b/>
        </w:rPr>
        <w:t>E. 3</w:t>
      </w:r>
    </w:p>
    <w:p>
      <w:r>
        <w:t>Das Verfahren ist kostenlos ( Art. 134 OG ). Dem Prozessausgang entsprechend steht der Beschwerdeführerin eine Parteientschädigung zu (Art. 159 Abs. 1 und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