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K_173/2005 vom 24. Mai 2006</w:t>
      </w:r>
    </w:p>
    <w:p>
      <w:r>
        <w:t>Bundesgericht, 2006-05-24, FR</w:t>
      </w:r>
    </w:p>
    <w:p>
      <w:r>
        <w:rPr>
          <w:b/>
        </w:rPr>
        <w:t xml:space="preserve">Quelle: </w:t>
      </w:r>
      <w:r>
        <w:t>https://mcp.opencaselaw.ch/entscheid/bger_K_173_2005</w:t>
      </w:r>
    </w:p>
    <w:p>
      <w:r>
        <w:t>FR: TF K_173/2005 du 24 mai 2006</w:t>
      </w:r>
    </w:p>
    <w:p>
      <w:r>
        <w:t>IT: TF K_173/2005 del 24 maggio 2006</w:t>
      </w:r>
    </w:p>
    <w:p>
      <w:pPr>
        <w:pStyle w:val="Heading2"/>
      </w:pPr>
      <w:r>
        <w:t>Erwägungen</w:t>
      </w:r>
    </w:p>
    <w:p>
      <w:r>
        <w:rPr>
          <w:b/>
        </w:rPr>
        <w:t>E. 1</w:t>
      </w:r>
    </w:p>
    <w:p>
      <w:r>
        <w:t>Parmi les décisions incidentes qui peuvent être déférées au Tribunal fédéral des assurances par la voie du recours de droit administratif figurent, d'après l' art. 45 al. 2 let. a PA , les décisions par lesquelles l'autorité inférieure se prononce sur sa compétence, soit en l'admettant alors qu'une partie la conteste ( art. 9 al. 1 PA ), soit en la déclinant alors qu'une partie prétend qu'elle est compétente ( art. 9 al. 2 PA ). Selon la jurisprudence, quand un juge statue sur sa compétence par une décision incidente, on se trouve en présence d'une décision susceptible de causer un préjudice irréparable de nature formelle et idéale à celui qui la conteste ( ATF 131 V 43 consid. 1.1, 110 V 351 ss).</w:t>
      </w:r>
    </w:p>
    <w:p>
      <w:r>
        <w:rPr>
          <w:b/>
        </w:rPr>
        <w:t>E. 2</w:t>
      </w:r>
    </w:p>
    <w:p>
      <w:r>
        <w:t>Selon l' art. 89 LAMal ,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en pareil cas, l'assureur représente, à ses frais, l'assuré au procès (al. 3).</w:t>
      </w:r>
    </w:p>
    <w:p>
      <w:r>
        <w:t>Ni la LAMal, ni ses dispositions d'exécution ne définissent précisément ce qu'il faut entendre par litiges entre assureurs et fournisseurs de prestations. Comme sous le régime de la LAMA ( art. 25 al. 1 LAMA ), la notion de litige doit être entendue dans un sens large ( ATF 111 V 346 s.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Si ces conditions ne sont pas réalisées, le litige relève de la compétence du juge civil ( ATF 131 V 193 consid. 2 et les références citées).</w:t>
      </w:r>
    </w:p>
    <w:p>
      <w:r>
        <w:rPr>
          <w:b/>
        </w:rPr>
        <w:t>E. 3.1</w:t>
      </w:r>
    </w:p>
    <w:p>
      <w:r>
        <w:t>En l'espèce, le litige oppose un fournisseur de prestations à des assureurs-maladie. Les rapports juridiques qui sont à la base de ce litige sont indiscutablement fondés sur la LAMal. Le litige porte, plus précisément, sur le droit des assureurs intimés de réclamer à la recourante la restitution de montants perçus en trop, après que le Conseil fédéral a modifié sur recours ( art. 53 al. 1 LAMal ) et avec effet rétroactif une réglementation tarifaire fixée par un gouvernement cantonal ( art. 47 al. 1 LAMal ). A l'instar du contentieux relatif à l'obligation de restitution du médecin pour traitement non économique ( ATF 130 V 377 ), un tel litige relève de la compétence du tribunal arbitral (voir ATF 124 V 22 ; arrêt T. du 18 mars 2005 [K 167/04]).</w:t>
      </w:r>
    </w:p>
    <w:p>
      <w:r>
        <w:rPr>
          <w:b/>
        </w:rPr>
        <w:t>E. 3.2</w:t>
      </w:r>
    </w:p>
    <w:p>
      <w:r>
        <w:t>La recourante soutient qu'il n'y a pas de rapport juridique fondé sur la LAMal lorsque l'assureur intervient comme tiers garant (cf. art. 42 al. 1 LAMal ). Ce moyen n'est pas fondé. En effet, le tribunal arbitral est aussi compétent si le débiteur de la rémunération est l'assuré, auquel cas l'assureur représente, à ses frais, l'assuré au procès ( art. 89 al. 3 LAMal ; ATF 127 V 281 , plus spécialement 286 consid. 5d; arrêt P. du 15 avril 2002 [K 51/01]; Gebhard Eugster, Krankenversicherung, in : Schweizerisches Bundesverwaltungsrecht [SBVR], Soziale Sicherheit, ch. 416; contra : Jean-Louis Duc, La polypragmasie sous l'empire de l'article 23 LAMA et au regard de l'article 56 LAMal, in : Etudes de droit social, Cahiers genevois et romands de sécurité sociale [CGSS], Hors série no 3 [2001], p. 107-114, mais dont l'opinion a été réfutée dans l' ATF 127 V 281 ).</w:t>
      </w:r>
    </w:p>
    <w:p>
      <w:r>
        <w:rPr>
          <w:b/>
        </w:rPr>
        <w:t>E. 3.3</w:t>
      </w:r>
    </w:p>
    <w:p>
      <w:r>
        <w:t>C'est en vain, également, que la recourante soutient qu'aucun assuré ne souhaite être représenté par santésuisse. A ce propos, il faut relever, tout d'abord, que santésuisse n'est pas, comme telle, partie à la procédure. Comme l'a jugé le Tribunal fédéral des assurances, il ne saurait être question d'exiger de chaque assureur séparément qu'il entame contre le fournisseur de prestations en cause une action en restitution du trop perçu. Aussi bien les assureurs, représentés le cas échéant par leur organisation faîtière, peuvent introduire une demande globale de restitution à l'encontre d'un fournisseur de prestations et, à l'issue de la procédure, se partager le montant qui serait obtenu à titre de restitution des rétributions perçues sans droit ( ATF 127 V 286 consid. 5d). Quant à l'accord des assurés, il n'est pas requis. Les assureurs ont un droit propre à exiger des fournisseurs de prestations la restitution des sommes qu'ils ont perçues indûment, même lorsque celles-ci leur ont été versées par l'assuré et non par l'assureur et fût-ce contre la volonté de l'assuré ( ATF 127 V 285 s. consid. 5c; RAMA 2004 n° KV 287 p. 298).</w:t>
      </w:r>
    </w:p>
    <w:p>
      <w:r>
        <w:rPr>
          <w:b/>
        </w:rPr>
        <w:t>E. 3.4</w:t>
      </w:r>
    </w:p>
    <w:p>
      <w:r>
        <w:t>La recourante fait encore valoir que la demande de rétrocession est « irrecevable » en raison de l'imprécision de ses conclusions. Mais cette argumentation relève du litige au fond : l'imprécision invoquée n'est pas de nature à remettre en cause la compétence du tribunal arbitral.</w:t>
      </w:r>
    </w:p>
    <w:p>
      <w:r>
        <w:rPr>
          <w:b/>
        </w:rPr>
        <w:t>E. 3.5</w:t>
      </w:r>
    </w:p>
    <w:p>
      <w:r>
        <w:t>On relèvera enfin que dans une affaire portant sur les mêmes faits que ceux qui sont à la base du présent litige, le Tribunal fédéral a déclaré irrecevable le recours d'une clinique privée (avec siège social à Genève) contre un arrêt de la Chambre civile de la Cour de justice du canton de Genève. Dans son arrêt (5C.6/2005), le Tribunal fédéral a considéré que l'action intentée par l'assureur se fondait sur des prétentions qui ne relevaient manifestement pas du droit civil fédéral mais du droit public, c'est-à-dire du Tribunal arbitral selon l' art. 89 LAMal , comme l'avait jugé avec raison la Cour de justice.</w:t>
      </w:r>
    </w:p>
    <w:p>
      <w:r>
        <w:rPr>
          <w:b/>
        </w:rPr>
        <w:t>E. 4</w:t>
      </w:r>
    </w:p>
    <w:p>
      <w:r>
        <w:t>Il suit de là que le recours de droit administratif n'est pas fondé. La recourante, qui succombe, supportera les frais de la procédure ( art. 156 al. 1 OJ ).</w:t>
      </w:r>
    </w:p>
    <w:p>
      <w:r>
        <w:t>Les intimées, qui sont représentées par un avocat, ont droit à une indemnité de dépens (SVR 1995 KV n° 40 p. 125 ss consid. 5b). Il se justifie de réduire cette indemnité pour tenir compte du fait que les intimées sont représentées par le même avocat dans plusieurs affaires semblables et qu'elles ont déposé à chaque fois un mémoire de réponse identique.</w:t>
      </w:r>
    </w:p>
    <w:p>
      <w:r>
        <w:rPr>
          <w:b/>
        </w:rPr>
        <w:t>E. 5</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