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152/01 vom 30. April 2002</w:t>
      </w:r>
    </w:p>
    <w:p>
      <w:r>
        <w:t>Bundesgericht, 2002-04-30, DE</w:t>
      </w:r>
    </w:p>
    <w:p>
      <w:r>
        <w:rPr>
          <w:b/>
        </w:rPr>
        <w:t xml:space="preserve">Quelle: </w:t>
      </w:r>
      <w:r>
        <w:t>https://mcp.opencaselaw.ch/entscheid/bger_K_152_01</w:t>
      </w:r>
    </w:p>
    <w:p>
      <w:r>
        <w:t>FR: TF K 152/01 du 30 avril 2002</w:t>
      </w:r>
    </w:p>
    <w:p>
      <w:r>
        <w:t>IT: TF K 152/01 del 30 aprile 2002</w:t>
      </w:r>
    </w:p>
    <w:p>
      <w:pPr>
        <w:pStyle w:val="Heading2"/>
      </w:pPr>
      <w:r>
        <w:t>Regeste</w:t>
      </w:r>
    </w:p>
    <w:p>
      <w:r>
        <w:t>Krankenversicherung</w:t>
      </w:r>
    </w:p>
    <w:p>
      <w:pPr>
        <w:pStyle w:val="Heading2"/>
      </w:pPr>
      <w:r>
        <w:t>Erwägungen</w:t>
      </w:r>
    </w:p>
    <w:p>
      <w:r>
        <w:rPr>
          <w:b/>
        </w:rPr>
        <w:t>E. 1</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 wie das kantonale Gericht ebenfalls zutreffend darlegt -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 c)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2</w:t>
      </w:r>
    </w:p>
    <w:p>
      <w:r>
        <w:t>Unbestritten und aus den Akten ersichtlich ist, dass die Beschwerdeführerin an einem offenen Biss und einer Retromaxillie litt und sich deswegen einem operativen Eingriff bei einem Kieferchirurgen unterzog. Streitig und zu prüfen ist, ob die Kosten dieser Behandlung durch die obligatorische Krankenpflegeversicherung zu übernehmen sind.</w:t>
      </w:r>
    </w:p>
    <w:p>
      <w:r>
        <w:rPr>
          <w:b/>
        </w:rPr>
        <w:t>E. 3</w:t>
      </w:r>
    </w:p>
    <w:p>
      <w:r>
        <w:t>a) Die Krankenkasse verneinte von vornherein eine Leistungspflicht im Wesentlichen mit der Begründung, die gesetzlichen Voraussetzungen für die Übernahme der Zahnbehandlung durch die obligatorische Krankenpflegeversicherung gemäss Art. 31 Abs. 1 KVG in Verbindung mit Art. 17-19a KLV seien nicht erfüllt. b) Die Beschwerdeführerin liess im vorinstanzlichen Verfahren zunächst geltend machen, ihre Beschwerden seien sowohl unter Art. 17 lit. f KLV (Dysgnathie) wie auch unter Art. 19a Abs. 2 Ziff. 21 und 22 KLV (Mordex apertus und Prognathia) zu subsumieren, weshalb die daraus hervorgehenden zahnärztlichen Behandlungen von der Krankenkasse zu übernehmen seien. In ihrer abschliessenden Stellungnahme sodann qualifizierte sie den streitigen Eingriff als allgemeinchirurgische Behandlung, welche die Krankenkasse nach Massgabe von Art. 25 KVG zu übernehmen habe. c) Das Sozialversicherungsgericht des Kantons Zürich legte in seinem Entscheid zunächst dar, dass - wie die Versicherte inzwischen selber einräume - weder ein Geburtsgebrechen im Sinne von Art. 19a KLV noch eine Dysgnathie, die zu Störungen mit Krankheitswert geführt habe, vorliege, weshalb eine Leistungspflicht für eine zahnärztliche Behandlung zu verneinen sei. Eine Leistungspflicht für eine allfällige ärztliche Behandlung gemäss Art. 25 KVG sei sodann wegen Fehlens des Krankheitswertes nicht gegeben. Da der erfolgte kieferchirurgische Eingriff demnach weder als ärztliche noch als zahnärztliche Behandlung von der obligatorischen Krankenpflegeversicherung zu übernehmen wäre, könne die Frage, ob eine ärztliche oder eine zahnärztliche Behandlung vorliege, offen bleiben. d) In der Verwaltungsgerichtsbeschwerde beruft sich die Beschwerdeführerin auf eine Leistungspflicht der obligatorischen Krankenpflegeversicherung für eine ärztliche Behandlung gemäss Art. 25 KVG , wobei der erforderliche Krankheitswert gegeben sei. Die Beschwerdegegnerin vertritt demgegenüber den Standpunkt, dass nur eine Leistungspflicht für eine zahnärztliche Behandlung im Sinne von Art. 31 Abs. 1 lit. a KVG in Verbindung mit Art. 17 lit. f KLV in Frage kommen könne, wobei die entsprechenden Voraussetzungen für eine Leistungspflicht nicht erfüllt seien.</w:t>
      </w:r>
    </w:p>
    <w:p>
      <w:r>
        <w:rPr>
          <w:b/>
        </w:rPr>
        <w:t>E. 4</w:t>
      </w:r>
    </w:p>
    <w:p>
      <w:r>
        <w:t>a)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zum KUVG - grundsätzlich therapeutische Vorkehren am Kausystem. Darunter fallen die Behandlung der Zähne, des Zahnhalteapparates sowie die Behandlung an den Organbereichen, die ein künstliches Gebiss aufzunehmen haben ( BGE 120 V 195 Erw.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 Soziale Sicherheit, Fn 333). cc) Einige Beispiele mögen der Veranschaulichung dienen: Während etwa bei der Überkronung eines schadhaften Zahnes Ansatzpunkt und therapeutische Zielsetzung den gleichen Zahn betreffen, können sie auch verschiedene Bereiche erfassen. Eine Aufbissschiene beispielsweise,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b) Die genannten Kriterien dürften im Allgemeinen zur Unterscheidung zwischen zahnärztlicher und ärztlicher Behandlung ausreichen. Soweit es nötig sein sollte, könnten ergänzend weitere sachdienliche Kriterien herangezogen werden (vgl. zum Ganzen zur Publikation in der Amtlichen Sammlung vorgesehenes Urteil K. vom 22. April 2002, K 172/00). c) Während die Kosten für eine ärztliche Behandlung von der obligatorischen Krankenpflegeversicherung bei gegebenem Krankheitswert nach Massgabe von Art. 25 KVG zu übernehmen sind, richtet sich die Leistungspflicht für eine zahnärztliche Behandlung nach Art. 31 Abs. 1 KVG in Verbindung mit Art. 17 ff. KLV .</w:t>
      </w:r>
    </w:p>
    <w:p>
      <w:r>
        <w:rPr>
          <w:b/>
        </w:rPr>
        <w:t>E. 5</w:t>
      </w:r>
    </w:p>
    <w:p>
      <w:r>
        <w:t>Ansatzpunkt der streitigen operativen Behandlung des offenen Bisses und der Retromaxillie sind der Zahnapparat und der Kieferbereich. Die therapeutische Zielsetzung bedarf einer differenzierten Betrachtung. a) Soweit die Beschwerdeführerin geltend macht, der operative Eingriff habe dazu gedient, ihre äussere Erscheinung im Gesichtsbereich ästhetischer zu machen und damit ihre Hemmungen abzubauen, an denen sie seit ihrer Kindheit leide, beruft sie sich auf eine therapeutische Zielsetzung, die im psychischen Bereich liegt. Zur Diskussion steht damit eine ärztliche Massnahme. Der Krankheitswert, der erforderlich wäre, damit die Behandlung die Leistungspflicht der obligatorischen Krankenpflegeversicherung gemäss Art. 25 KVG zu begründen vermöchte, ist indessen nicht gegeben. Die Angabe in der Verwaltungsgerichtsbeschwerde, wonach die Versicherte mit einem Antidepressivum behandelt worden sei, ist zu vage, als dass daraus auf eine psychische Erkrankung mit Krankheitswert geschlossen werden könnte. Der Vollständigkeit halber ist diesbezüglich darauf hinzuweisen, dass auch im von der Beschwerdeführerin aufgelegten Bericht des Prof. Dr. Dr. G.________, Klinik und Poliklinik für Kiefer- und Gesichtschirurgie des Spitals X.________ vom 29. November 2001, nichts auf eine solche Erkrankung hindeutet. b) Soweit die Beschwerdeführerin indessen geltend macht, die Operation habe einer Verbesserung der Bissverhältnisse gedient, handelt es sich von der therapeutischen Zielsetzung her um eine zahnärztliche Massnahme. Eine schwere, nicht vermeidbare Erkrankung im Sinne von Art. 31 Abs. 1 lit. a KVG in Verbindung mit Art. 17 lit. f KLV liegt indessen nicht vor. In den Akten finden sich keine Anhaltspunkte dafür, dass die Beschwerdeführerin an einer Dysgnathie, die zu Störungen mit Krankheitswert, namentlich zu einer schweren Schädel-Gesichts-Asymmetrie, geführt hätte, litt. Der offene Biss und die Retromaxillie, welche bei der Versicherten zu wenig ausgeprägt gewesen sind, als dass sie ein Geburtsgebrechen im Sinne von Art. 13 IVG dargestellt hätten, mögen wohl der äusseren Erscheinung Abbruch tun; von einer schweren Schädel-Gesichts-Asymmetrie kann indessen nicht die Rede sein. Diesbezüglich kann auch auf den Bild-Atlas der Erkrankungen mit Auswirkungen auf das Kausystem (SSO-Atlas), herausgegeben von der Schweizerischen Zahnärztegesellschaft SSO, 1996, verwiesen werden, wo unter Asymmetrie im Sinne von Art. 17 lit. f Ziff. 3 KLV der offene Biss und die Retromaxillie nicht aufgeführt sind. c) Ist demzufolge die Beschwerdegegnerin weder für die Kosten einer ärztlichen noch einer zahnärztlichen Behandlung leistungspflichtig, ist die Verwaltungsgerichtsbeschwerde abzuweisen.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30. April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