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147/03 vom 12. März 2004</w:t>
      </w:r>
    </w:p>
    <w:p>
      <w:r>
        <w:t>Bundesgericht, 2004-03-12, FR</w:t>
      </w:r>
    </w:p>
    <w:p>
      <w:r>
        <w:rPr>
          <w:b/>
        </w:rPr>
        <w:t xml:space="preserve">Quelle: </w:t>
      </w:r>
      <w:r>
        <w:t>https://mcp.opencaselaw.ch/entscheid/bger_K_147_03</w:t>
      </w:r>
    </w:p>
    <w:p>
      <w:r>
        <w:t>FR: TF K 147/03 du 12 mars 2004</w:t>
      </w:r>
    </w:p>
    <w:p>
      <w:r>
        <w:t>IT: TF K 147/03 del 12 marzo 2004</w:t>
      </w:r>
    </w:p>
    <w:p>
      <w:pPr>
        <w:pStyle w:val="Heading2"/>
      </w:pPr>
      <w:r>
        <w:t>Regeste</w:t>
      </w:r>
    </w:p>
    <w:p>
      <w:r>
        <w:t>Assurance-maladie</w:t>
      </w:r>
    </w:p>
    <w:p>
      <w:pPr>
        <w:pStyle w:val="Heading2"/>
      </w:pPr>
      <w:r>
        <w:t>Erwägungen</w:t>
      </w:r>
    </w:p>
    <w:p>
      <w:r>
        <w:rPr>
          <w:b/>
        </w:rPr>
        <w:t>E. 1</w:t>
      </w:r>
    </w:p>
    <w:p>
      <w:r>
        <w:t>Le litige porte sur la restitution de la somme de 1'826 fr. 35, somme versée au titre de l'assurance obligatoire des soins.</w:t>
      </w:r>
    </w:p>
    <w:p>
      <w:r>
        <w:rPr>
          <w:b/>
        </w:rPr>
        <w:t>E. 2</w:t>
      </w:r>
    </w:p>
    <w:p>
      <w:r>
        <w:t>Le recourant soutient que la demande de restitution est mal fondée. Dans la mesure où l'affection dentaire dont il souffrait représentait une entrave au développement ordonné de la dentition en développement, son traitement devait être pris en charge par l'intimée au titre de l'assurance obligatoire des soins. Insistant sur le caractère pathologique de l'affection - à l'âge de trente mois, sa dentition s'effritait déjà - il estime que la juridiction cantonale ne pouvait pas ignorer un problème de cette nature et devait, à tout le moins, ordonner une instruction complémentaire.</w:t>
      </w:r>
    </w:p>
    <w:p>
      <w:r>
        <w:rPr>
          <w:b/>
        </w:rPr>
        <w:t>E. 3.1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3.2</w:t>
      </w:r>
    </w:p>
    <w:p>
      <w:r>
        <w:t>Conformément à l' art. 33 al. 2 et 5 LAMal , en liaison avec l' art. 33 let . d OAMal, le Département fédéral de l'intérieur a édicté les articles 17, 18 et 19 de l'Ordonnance sur les prestations dans l'assurance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129 V 279 consid. 3.2, 127 V 332 consid. 3a et 343 consid. 3b, 124 V 185). A l' art. 17 OPAS , sont énumérées les maladies graves et non évitables du système de la mastication au sens de l' art. 31 al. 1 let. a LAMal , qui ouvrent droit à la prise en charge des coûts des traitements dentaires par l'assurance obligatoire des soins.</w:t>
      </w:r>
    </w:p>
    <w:p>
      <w:r>
        <w:rPr>
          <w:b/>
        </w:rPr>
        <w:t>E. 3.3</w:t>
      </w:r>
    </w:p>
    <w:p>
      <w:r>
        <w:t>Selon la jurisprudence, est "évitable" toute maladie du système de la mastication qui peut être évitée par une bonne hygiène buccale et dentaire. Dans ce sens, sont visées la carie et la parodontite ( ATF 129 V 279 consid. 3.3, 125 V 19 sv. consid. 3a; SVR 1999 KV 11 p. 25 consid. 1b/aa).</w:t>
      </w:r>
    </w:p>
    <w:p>
      <w:r>
        <w:rPr>
          <w:b/>
        </w:rPr>
        <w:t>E. 4</w:t>
      </w:r>
    </w:p>
    <w:p>
      <w:r>
        <w:t>Le traitement dentaire litigieux n'entre dans aucune des prévisions envisagées par les dispositions pertinentes de la LAMal et de l'OPAS. En particulier, on n'est pas en présence d'un cas de dislocation dentaire au sens de l' art. 17 let. a ch. 2 OPAS (cf. ATF 127 V 396 consid. 3c/bb). C'est en vain dès lors que le recourant se prévaut de la jurisprudence rendue à propos de cette disposition et qui, notamment, établit une distinction entre dentition en développement et dentition définitive (voir p. ex. ATF 127 V 391 ).</w:t>
      </w:r>
    </w:p>
    <w:p>
      <w:r>
        <w:rPr>
          <w:b/>
        </w:rPr>
        <w:t>E. 5</w:t>
      </w:r>
    </w:p>
    <w:p>
      <w:r>
        <w:t>Le traitement n'étant pas à la charge de l'assurance-maladie sociale, il reste à examiner la question de la restitution.</w:t>
      </w:r>
    </w:p>
    <w:p>
      <w:r>
        <w:rPr>
          <w:b/>
        </w:rPr>
        <w:t>E. 5.1</w:t>
      </w:r>
    </w:p>
    <w:p>
      <w:r>
        <w:t>La décision sur opposition a été rendue après l'entrée en vigueur de la LPGA, mais elle concerne des prestations allouées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 art. 25 LPGA (alors art. 32 du projet), relatif à la restitution des prestations indûment touchées est spécialement mentionné comme exemple d'une disposition qui ne serait pas applicable à des prestations déjà versées avant l'entrée en vigueur de la loi (FF 1991 II p. 266 sv). En revanche, selon Ueli Kieser (ATSG-Kommentar, note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w:t>
      </w:r>
    </w:p>
    <w:p>
      <w:r>
        <w:rPr>
          <w:b/>
        </w:rPr>
        <w:t>E. 5.2</w:t>
      </w:r>
    </w:p>
    <w:p>
      <w:r>
        <w:t>La question du droit pertinent ratione temporis ne revêt toutefois pas une importance décisive en l'occurrence, du moment que les principes applicables à la restitution selon la LPGA sont issus de la réglementation et de la jurisprudence antérieures (Ueli Kieser, op. cit., note 9 ad art. 82). Plus précisément, jusqu'au 31 décembre 2002, l' art. 47 LAVS (abrogé avec l'entrée en vigueur de la LPGA) était applicable par analogie à la restitution par un assuré de prestations d'assurance-maladie sociale indûment versées ( ATF 126 V 23 ). L' art. 25 al. 1 LPGA (en vigueur depuis le 1er janvier 2003) prévoit que les prestations indûment touchées doivent être restituées; la restitution ne peut être exigée lorsque l'intéressé était de bonne foi et le mettrait dans une situation difficile. Cette disposition est désormais directement applicable en matière d'assurance-maladie ( art. 1er LAMal en corrélation avec l' art. 2 LPGA ). En ce qui concerne l'obligation de restituer comme telle, l' art. 25 al. 1 LPGA ne fait que reprendre la réglementation de l' 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Comme par le passé, l'obligation de restituer suppose aujourd'hui encore, conformément à la jurisprudence rendue à propos de l' art. 47 al. 1 LAVS ou de l' art. 95 LACI (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 art. 95 LACI ]; Jürg Brechbühl, Umsetzung des ATSG auf Verordnungsebene / Verordnung zum Allgemeinen Teil des Sozialversicherungsrechts, in : Bundesgesetz über den Allgemeinen Teil des Sozialversicherungsrechts [ATSG], Saint-Gall 2003, p. 208).</w:t>
      </w:r>
    </w:p>
    <w:p>
      <w:r>
        <w:rPr>
          <w:b/>
        </w:rPr>
        <w:t>E. 5.3</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23 consid. 4b et les références citées). A noter que la révision et la reconsidération sont désormais explicitement réglées à l' art. 53 LPGA .</w:t>
      </w:r>
    </w:p>
    <w:p>
      <w:r>
        <w:rPr>
          <w:b/>
        </w:rPr>
        <w:t>E. 6.1</w:t>
      </w:r>
    </w:p>
    <w:p>
      <w:r>
        <w:t>En l'espèce, c'est de toute évidence par erreur que la CSS a remboursé à l'hôpital X.________ sa facture du 13 août 2001 (sous déduction de la participation, de frais non assurés et de la prise en charge par l'assurance «Standard Zoom»), au titre de l'assurance-obligatoire des soins. Ce paiement ne reposait sur aucune base juridique pertinente. Comme le relèvent les premiers juges, la symptomatologie infectieuse est en l'espèce la conséquence de caries, dont le traitement, de par la volonté claire du législateur, ne saurait être à la charge de l'assurance obligatoire des soins (Gebhard Eugster, Aspects des soins dentaires selon l' art. 31 al. 1 LAMal à la lumière du droit de l'assurance-maladie [traduction française de Beat Raemy] in : Revue mensuelle suisse d'odontostomatologie, vol. 107 [1997], p. 116 ss). La décision (non formelle) de l'intimée d'accorder ses prestations dans ce cas, en dehors d'un état de fait visé par les dispositions de l'OPAS, était donc entachée d'inexactitude manifeste (cf. également SVR 2001 KV no 42 p. 121 consid. 6c). En outre, la condition de l'importance notable est remplie.</w:t>
      </w:r>
    </w:p>
    <w:p>
      <w:r>
        <w:rPr>
          <w:b/>
        </w:rPr>
        <w:t>E. 6.2</w:t>
      </w:r>
    </w:p>
    <w:p>
      <w:r>
        <w:t>En principe, c'est le destinataire de la prestation versée indûment qui est débiteur de l'obligation de restituer. En matière d'assurance-maladie, le débiteur de cette obligation est l'assuré concerné même si le paiement a été effectué - comme en l'espèce - en mains du prestataire de soins, en l'occurrence l'établissement hospitalier (cf. SVR 2001 KV no 42 p. 121 consid. 6a; arrêt B. du 16 mai 2000 [K 128/99]; Ueli Kieser, op. cit. note 15 ad art. 25).</w:t>
      </w:r>
    </w:p>
    <w:p>
      <w:r>
        <w:rPr>
          <w:b/>
        </w:rPr>
        <w:t>E. 7</w:t>
      </w:r>
    </w:p>
    <w:p>
      <w:r>
        <w:t>De ce qui précède, il résulte que la décision de restitution, était justifiée. Demeure réservée, comme l'ont noté les premiers juges, une remise de l'obligation de restituer, question qui ne fait pas l'objet de la présente procédure.</w:t>
      </w:r>
    </w:p>
    <w:p>
      <w:r>
        <w:rPr>
          <w:b/>
        </w:rPr>
        <w:t>E. 8</w:t>
      </w:r>
    </w:p>
    <w:p>
      <w:r>
        <w:t>Il s'ensuit que le recours est mal fondé. Vu la nature du litige, il n'y a pas lieu à perception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