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145/01 vom 6. Mai 2002</w:t>
      </w:r>
    </w:p>
    <w:p>
      <w:r>
        <w:t>Bundesgericht, 2002-05-06, FR</w:t>
      </w:r>
    </w:p>
    <w:p>
      <w:r>
        <w:rPr>
          <w:b/>
        </w:rPr>
        <w:t xml:space="preserve">Quelle: </w:t>
      </w:r>
      <w:r>
        <w:t>https://mcp.opencaselaw.ch/entscheid/bger_K_145_01</w:t>
      </w:r>
    </w:p>
    <w:p>
      <w:r>
        <w:t>FR: TF K 145/01 du 6 mai 2002</w:t>
      </w:r>
    </w:p>
    <w:p>
      <w:r>
        <w:t>IT: TF K 145/01 del 6 maggio 2002</w:t>
      </w:r>
    </w:p>
    <w:p>
      <w:pPr>
        <w:pStyle w:val="Heading2"/>
      </w:pPr>
      <w:r>
        <w:t>Regeste</w:t>
      </w:r>
    </w:p>
    <w:p>
      <w:r>
        <w:t>Assurance-maladie</w:t>
      </w:r>
    </w:p>
    <w:p>
      <w:pPr>
        <w:pStyle w:val="Heading2"/>
      </w:pPr>
      <w:r>
        <w:t>Erwägungen</w:t>
      </w:r>
    </w:p>
    <w:p>
      <w:r>
        <w:rPr>
          <w:b/>
        </w:rPr>
        <w:t>E. 1</w:t>
      </w:r>
    </w:p>
    <w:p>
      <w:r>
        <w:t>Sous l'empire de la LAMA, le contentieux en matière d'assurances complémentaires au sens de l' art. 3 al. 5 LAMA ressortissait au juge des assurances sociales, selon la procédure définie aux art. 30 ss LAMA ( ATF 108 V 42 , 105 V 296 consid. 1b). Désormais, comme les assurances complémentaires pratiquées par les assureurs-maladie sont régies par la LCA, le juge des assurances sociales n'est plus compétent pour connaître des litiges, de nature privée, qui pourraient survenir dans ce domaine entre assureurs et assurés ( ATF 124 V 135 consid. 3 et les références citées). Dans le cas particulier, le litige ne porte dès lors en instance fédérale que sur le principe et, cas échéant, la quotité de la prise en charge par l'assurance obligatoire des soins des prestations fournies à titre de soins à domicile. Les prestations complémentaires servies à l'assuré échappent en revanche à cet examen.</w:t>
      </w:r>
    </w:p>
    <w:p>
      <w:r>
        <w:rPr>
          <w:b/>
        </w:rPr>
        <w:t>E. 2</w:t>
      </w:r>
    </w:p>
    <w:p>
      <w:r>
        <w:t>S'agissant des prestations découlant de l'assurance obligatoire des soins, il est constant qu'au moment déterminant, X.________ ne faisait pas partie des organisations de soins et d'aide à domicile autorisées à prodiguer, à la charge des assureurs-maladie, des soins à domicile sur prescription médicale. Aussi bien les prestations de X.________ ne sont-elles, légalement, pas à la charge de l'assurance obligatoire des soins (art. 25 al. 2 let. a ch. 3, en relation avec les art. 35 al. 1 et 2 let . e et 41 LAMal; art. 51 OAMal ). Les parties ne le contestent du reste pas, qui placent le litige sur le seul terrain du droit à la protection de la bonne foi.</w:t>
      </w:r>
    </w:p>
    <w:p>
      <w:r>
        <w:rPr>
          <w:b/>
        </w:rPr>
        <w:t>E. 3</w:t>
      </w:r>
    </w:p>
    <w:p>
      <w:r>
        <w:t>que l'administré n'ait pu se rendre compte immédiatement de l'inexactitude du renseignement obtenu;</w:t>
      </w:r>
    </w:p>
    <w:p>
      <w:r>
        <w:rPr>
          <w:b/>
        </w:rPr>
        <w:t>E. 4</w:t>
      </w:r>
    </w:p>
    <w:p>
      <w:r>
        <w:t>qu'il se soit fondé sur celui-ci pour prendre des dispositions qu'il ne saurait modifier sans subir un préjudice;</w:t>
      </w:r>
    </w:p>
    <w:p>
      <w:r>
        <w:rPr>
          <w:b/>
        </w:rPr>
        <w:t>E. 5</w:t>
      </w:r>
    </w:p>
    <w:p>
      <w:r>
        <w:t>Dans un deuxième moyen, la recourante conteste son obligation de verser des intérêts moratoires. a) Dans le domaine du droit des assurances sociales, le Tribunal fédéral des assurances considère depuis longtemps déjà qu'il n'y a en principe pas place pour des intérêts moratoires, dans la mesure où ils ne sont pas prévus par la législation. La principale raison de l'exclusion de la dette d'intérêts dans ce domaine réside dans le rôle dévolu à l'administration. Celle-ci se présente comme détentrice de la puissance publique chargée d'instruire, parfois longuement, les demandes de prestations émanant des particuliers et de leur appliquer le droit de manière objective. Lui imposer systématiquement des intérêts moratoires reviendrait à la pénaliser pour avoir accompli son devoir avec soin. Quant à l'assuré, la règle de l'égalité des parties commande de le dispenser lui aussi du paiement d'intérêts de retard lorsqu'il a défendu ce qu'il estimait être son droit. De manière générale, on peut dire qu'il faut laisser l'administration exercer ses fonctions et l'assuré défendre ses droits sans craindre de devoir verser des intérêts moratoires. On ne saurait cependant laisser sans aucune sanction des manoeuvres illicites ou purement dilatoires. L'octroi d'intérêts de retard, dans ces hypothèses, se justifie même dans le domaine des assurances sociales, mais il ne doit intervenir qu'avec retenue. Il a ainsi été considéré qu'il n'y avait pas lieu d'admettre une obligation générale de verser des intérêts dans des groupes de cas et que seules des situations particulières pouvaient, à titre exceptionnel, donner lieu à un tel résultat, quand le sentiment du droit est heurté de manière particulière ( ATF 119 V 81 ss consid. 3 et 4, ainsi que les arrêts cités; RAMA 2000 U 360 p. 34 consid. 3a). Dans l'arrêt ATF 119 V 78 , le Tribunal fédéral des assurances s'est penché sur la question de l'opportunité de procéder à un changement de jurisprudence en matière d'intérêts moratoires, au regard des critiques émises par la doctrine de l'époque; il y a répondu par la négative (consid. 4b). Nonobstant certaines critiques qui s'en suivirent et qui sont signalées dans l'arrêt du 13 août 1999 (RAMA 2000 U 360 p. 35 consid. 3c), auquel l'intimé se réfère, la Cour de céans n'a pas modifié sa jurisprudence en la matière à l'issue de cet arrêt (p. 36 consid. 3d). b) La LAMal ne prévoit pas le versement d'intérêts moratoires (arrêt non publié K. du 29 décembre 1998, K 145/98; Eugster, Krankenversicherung, in: Schweizerisches Bundesverwaltungsrecht [SBVR], Soziale Sicherheit, p. 113, n° 224). Il reste donc à examiner si la situation particulière justifie qu'il en soit calculé, sous l'angle de la jurisprudence qui vient d'être rappelée. L'intimé a sollicité le versement litigieux dans le courant du mois de décembre 2000, et à défaut une décision motivée. Celle-ci est intervenue le 1er février 2001 et la décision sur opposition le 7 juin 2001. Dans cette procédure qui a duré moins de six mois, on ne voit pas que la recourante ait usé de manoeuvres illicites ou purement dilatoires lors du traitement du dossier. Le sentiment du droit n'est par ailleurs pas non plus heurté de manière particulière par l'absence de paiement d'intérêts moratoires dès lors qu'il s'agit en définitive de montants versés pour des prestations qui n'étaient légalement pas à la charge de l'assurance obligatoire des soins. En l'état actuel du droit, il ne se justifiait pas, en conséquence, d'ajouter des intérêts aux sommes que la recourante doit verser à l'intimé, de sorte que le recours de droit administratif est bien fondé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