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K_142/2005 vom 1. März 2006</w:t>
      </w:r>
    </w:p>
    <w:p>
      <w:r>
        <w:t>Bundesgericht, 2006-03-01, DE</w:t>
      </w:r>
    </w:p>
    <w:p>
      <w:r>
        <w:rPr>
          <w:b/>
        </w:rPr>
        <w:t xml:space="preserve">Quelle: </w:t>
      </w:r>
      <w:r>
        <w:t>https://mcp.opencaselaw.ch/entscheid/bger_K_142_2005</w:t>
      </w:r>
    </w:p>
    <w:p>
      <w:r>
        <w:t>FR: TF K_142/2005 du 1 mars 2006</w:t>
      </w:r>
    </w:p>
    <w:p>
      <w:r>
        <w:t>IT: TF K_142/2005 del 1 marzo 2006</w:t>
      </w:r>
    </w:p>
    <w:p>
      <w:pPr>
        <w:pStyle w:val="Heading2"/>
      </w:pPr>
      <w:r>
        <w:t>Erwägungen</w:t>
      </w:r>
    </w:p>
    <w:p>
      <w:r>
        <w:rPr>
          <w:b/>
        </w:rPr>
        <w:t>E. 1</w:t>
      </w:r>
    </w:p>
    <w:p>
      <w:r>
        <w:t>Ob die streitigen Rückforderungen wegen unwirtschaftlicher Behandlung im Sinne von Art. 56 KVG gemäss Dispositiv-Ziffern 1 und 2 des angefochtenen Entscheides zu Recht bestehen, ist im Lichte der im fraglichen Zeitraum (1. Januar 1996 bis 31. Dezember 1997) gültig gewesenen Rechtsvorschriften zu überprüfen. Das am 1. Januar 2003 in Kraft getretene Bundesgesetz vom 6. Oktober 2000 über den Allgemeinen Teil des Sozialversicherungsrechts (ATSG) ist nicht anwendbar ( BGE 129 V 4 Erw. 1.2, 169 Erw. 1, 356 Erw. 1).</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In der Verwaltungsgerichtsbeschwerde wird geltend gemacht, die santésuisse St. Gallen-Thurgau-Glarus (als Rechtsnachfolgerin des KST) sei als Verband nicht aktivlegitimiert. Wie indessen aus den Rechtsschriften vom 18. September 1998 und 23. August 1999 hervorgeht, erhob der KST nicht in eigenem Namen Klage, sondern trat als Vertreter der einzelnen Klägerinnen auf, was rechtsprechungsgemäss zulässig ist ( BGE 127 V 286 Erw. 5d; Urteil X. vom 23. November 2004, K 116/03, Erw. 2.2). Was sodann den Einwand der fehlenden Bevollmächtigung des Verbandes anbelangt, ist auf die in Art. 4 Abs. 3 der Statuten KST enthaltene Prozessvollmacht zu verweisen. Nicht ersichtlich ist sodann, weshalb das in der Klage vom 18. September 1998 gewählte Vorgehen unzulässig sein soll, die Klägerinnen nicht im Rubrum der Klage, sondern nur in einer der Klage beiliegenden Liste einzeln aufzuführen, soweit es sich dabei um eine Liste der klagenden Krankenversicherer handelt und nicht - wie im Urteil vom 15. April 2004 erwähnt - um ein blosses (auch an der Klage nicht beteiligte Krankenkassen aufführendes) Mitgliederverzeichnis (vgl. auch nicht veröffentlichtes Urteil S. vom 9. September 1998, K 87/98, Erw. 6). Die Vorinstanz hat denn auch zutreffenderweise die in der ersten Klage nur mittels beiliegender Liste bezeichneten Klägerinnen ins Rubrum ihres Entscheides vom 7. April 2005 aufgenommen (vgl. in RKUV 2000 Nr. KV 128 S. 230 nicht veröffentlichte Erw. 1a des Urteils S. vom 25. Mai 2000, K 129/99). Soweit schliesslich einzelne Krankenversicherer mit anderen fusioniert haben, wie die Beschwerdeführerin ebenfalls vorbringt, gehen die Rechte und Pflichten - ungeachtet der in der Verwaltungsgerichtsbeschwerde aufgeworfenen Frage der Art der Fusion (Absorption oder Kombination) - auf die Rechtsnachfolger über (vgl. Erw. 2 des Urteils W. vom 16. Juni 2004, K 124/03). Schliesslich ist auch darauf hinzuweisen, dass eine Globalklage aller Kassen zulässig und eine Spezifikation der auf die einzelne Kasse entfallenden Beträge nicht erforderlich ist ( BGE 127 V 281 Erw. 5d; nicht veröffentlichtes Urteil X. vom 23. November 2004, K 116/03, Erw. 2.6).</w:t>
      </w:r>
    </w:p>
    <w:p>
      <w:r>
        <w:rPr>
          <w:b/>
        </w:rPr>
        <w:t>E. 3.2</w:t>
      </w:r>
    </w:p>
    <w:p>
      <w:r>
        <w:t>Die Krankenkasse KBV in Liquidation, an deren Stelle die Konkursmase der KBV getreten ist (vorne Bst. D), war gemäss vorinstanzlichem Entscheid infolge Rechtsnachfolge durch die Helsana schon im vorinstanzlichen Verfahren nicht Partei und ist es deshalb auch im Verfahren vor dem Eidgenössischen Versicherungsgericht nicht.</w:t>
      </w:r>
    </w:p>
    <w:p>
      <w:r>
        <w:rPr>
          <w:b/>
        </w:rPr>
        <w:t>E. 4.1</w:t>
      </w:r>
    </w:p>
    <w:p>
      <w:r>
        <w:t>Soweit die Beschwerdeführerin beantragt, die Vorinstanz sei zu verpflichten, ein schriftliches Verhandlungsprotokoll zu erstellen und einzureichen, ist darauf hinzuweisen, dass der Anspruch auf rechtliches Gehör nicht zwingend von Amtes wegen eine Protokollierung von Verhandlungen verlangt (Urteile F. vom 15. Juli 2005, 1P.290/2005, Erw. 2, und G. vom 6. Mai 2003, 6P.15/2003, Erw. 2.1), wohl aber, dass zumindest auf Antrag hin die Aussagen der Parteien, Zeugen und Experten in den wesentlichen Zügen protokolliert werden ( BGE 130 II 479 f. Erw. 4.4 und 4.5, 126 I 16 Erw. 2a/aa), wobei eine wörtliche Abschrift von Tonbandaufnahmen nicht erforderlich ist ( BGE 130 II 481 Erw. 5).</w:t>
      </w:r>
    </w:p>
    <w:p>
      <w:r>
        <w:rPr>
          <w:b/>
        </w:rPr>
        <w:t>E. 4.2</w:t>
      </w:r>
    </w:p>
    <w:p>
      <w:r>
        <w:t>In ihrer Stellungnahme vom 29. September 2005 hat die Vorinstanz ausgeführt, sie habe die Verhandlung vom 7. April 2005 auf Tonband aufgezeichnet, eine Abschrift der Aufnahme aber bis heute nicht erstellt, was sie jedoch auf Aufforderung des Eidgenössischen Versicherungsgerichtes jederzeit nachholen könne. Nachdem im kantonalen Entscheid (S. 23-25) die von den Parteien anlässlich der Gerichtsverhandlung vom 7. April 2005 gemachten Aussagen in den wesentlichen Zügen wiedergegeben werden, wobei die Beschwerdeführerin selber nicht behauptet, die Wiedergabe sei unvollständig oder unrichtig, und überdies das Plädoyer des Rechtsvertreters der Beschwerdeführerin in den Akten liegt, kann hierauf verzichtet werden.</w:t>
      </w:r>
    </w:p>
    <w:p>
      <w:r>
        <w:rPr>
          <w:b/>
        </w:rPr>
        <w:t>E. 5</w:t>
      </w:r>
    </w:p>
    <w:p>
      <w:r>
        <w:t>Nicht zu beanstanden ist des Weitern, dass die Vorinstanz ungeachtet des Hinweises der Beschwerdeführerin, wonach der Rechtsvertreter der Klägerinnen/Beschwerdegegnerinnen einer Anwaltskanzlei angehöre, die zuvor im gleichen Zusammenhang die Interessen der Beklagten/Beschwerdeführerin vertreten habe, unter den gegebenen Umständen keinen Anlass gesehen hat, diesen zur Mandatsniederlegung aufzufordern. Auf die zutreffenden Erwägungen, denen das Eidgenössische Versicherungsgericht nichts beizufügen hat, kann verwiesen werden.</w:t>
      </w:r>
    </w:p>
    <w:p>
      <w:r>
        <w:rPr>
          <w:b/>
        </w:rPr>
        <w:t>E. 6</w:t>
      </w:r>
    </w:p>
    <w:p>
      <w:r>
        <w:t>Entgegen der in der Verwaltungsgerichtsbeschwerde vertretenen Auffassung war es zulässig, dass die Beschwerdegegnerinnen in ihren Eingaben vom 18. September 1998 und 23. August 1999 (in welchen die von der Beschwerdeführerin verursachten Arzt- und Medikamentenkosten aufgelistet waren, was eine ungefähre Bezifferung des Streitwertes erlaubte) eine gerichtlich zu bestimmende Rückerstattung auf dem Jahresumsatz 1996 bzw. 1997 geltend machten und damit ein unbeziffertes Rechtsbegehren stellten. Denn das massgebende kantonale Recht, nach welchem sich das Verfahren vor Schiedsgericht richtet ( Art. 89 Abs. 5 KVG ), lässt, wie die Vorinstanz unter Hinweis auf die kantonalrechtliche Spruchpraxis dargelegt hat, unbezifferte Begehren zu. Im Übrigen darf nach der Rechtsprechung dort kein beziffertes Begehren verlangt werden, wo erst das Beweisverfahren die Grundlage für die Bezifferung der Forderung abgibt. Dies ist im Rückforderungsprozess wegen unwirtschaftlicher Behandlung nach Art. 56 KVG der Fall, weil überhöhte Kostenindizes beim kontrollierten Arzt erst die Vermutung der Überarztung begründen und Gegenstand des (schiedsgerichtlichen) Beweisverfahrens bildet, ob der Vorwurf unwirtschaftlicher Behandlung effektiv auch gerechtfertigt ist und gegebenenfalls, in welchem Umfang die Rückerstattung zu Unrecht erbrachter Leistungen verlangt werden kann (RKUV 2003 Nr. KV 250 S. 219 Erw. 2.2.2).</w:t>
      </w:r>
    </w:p>
    <w:p>
      <w:r>
        <w:rPr>
          <w:b/>
        </w:rPr>
        <w:t>E. 7.1</w:t>
      </w:r>
    </w:p>
    <w:p>
      <w:r>
        <w:t>Bei der Wirtschaftlichkeitsprüfung der ärztlichen Tätigkeit nach Art. 56 KVG kann sowohl die statistische Methode (Durchschnittskostenvergleich) als auch die analytische Methode (Einzelfallprüfung) - oder eine Kombination beider Methoden - zur Anwendung gelangen ( BGE 119 V 454 Erw. 4d; vgl. auch Christian Schürer, Honorarrückforderung wegen Überarztung bei ambulanter ärztlicher Behandlung - Materiellrechtliche Aspekte, in: Schaffhauser/Kieser [Hrsg.], Wirtschaftlichkeitskontrolle in der Krankenversicherung, St. Gallen 2001, S. 78 ff.). Auch wenn die statistische Methode der analytischen wo möglich vorgezogen werden soll und die analytische Methode im Allgemeinen nur dann zur Anwendung gelangt, wenn es an zuverlässigen Angaben für einen Durchschnittskostenvergleich fehlt, sind die kantonalen Schiedsgerichte in der Wahl der Prüfmethode grundsätzlich frei (SVR 2005 KV Nr. 4 S. 14 Erw. 6.1 [Urteil S. vom 18. Mai 2004, K 150/03]).</w:t>
      </w:r>
    </w:p>
    <w:p>
      <w:r>
        <w:rPr>
          <w:b/>
        </w:rPr>
        <w:t>E. 7.2</w:t>
      </w:r>
    </w:p>
    <w:p>
      <w:r>
        <w:t>Wird der Entscheid darüber, ob und in welchem Umfang der Arzt die Vorschrift der Wirtschaftlichkeit der Behandlung verletzt hat, auf Grund der statistischen Methode (Durchschnittskostenvergleich) gefällt, ist zu beachten, dass rechtsprechungsgemäss keine Kontrolle aller Positionen sämtlicher Rechnungen verlangt wird. Die Prüfung kann sich vielmehr darauf beschränken, dass die durchschnittlichen Behandlungskosten des betreffenden Arztes mit denjenigen anderer Ärzte unter ähnlichen Bedingungen verglichen werden.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an eine Krankenkasse im Vergleich zur Zahl von Rechnungen von Ärzten in geographisch gleichem Tätigkeitsbereich und mit etwa gleichem Krankengut im Durchschnitt erheblich höher ist, ohne dass den Durchschnitt beeinflussende Besonderheiten geltend gemacht werden können ( BGE 119 V 453 Erw. 4b mit Hinweisen; SVR 2001 KV Nr. 19 S. 52 Erw. 4b [Urteil N. vom 16. Februar 2000, K 144/97]; Urteil J. vom 10. August 2004, K 113/03, Erw. 3.2; vgl. auch Schürer, a.a.O., S. 82 f.).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 BGE 119 V 454 Erw. 4c in fine) und zudem allenfalls ein Zuschlag zu diesem Toleranzwert (zu dem den Toleranzbereich begrenzenden Indexwert) zuzugestehen, um spezifischen Praxisbesonderheiten Rechnung zu tragen (SVR 2001 KV Nr. 19 S. 52 Erw. 4b [Urteil N. vom 16. Februar 2000, K 144/97]). Nach der Rechtsprechung liegt der Toleranzbereich zwischen 120 und 130 Indexpunkten (SVR 2005 KV Nr. 4 S. 14 Erw. 6.2 [Urteil S. vom 18. Mai 2004, K 150/03]; Urteil J. vom 10. August 2004, K 113/03, Erw. 3.2).</w:t>
      </w:r>
    </w:p>
    <w:p>
      <w:r>
        <w:rPr>
          <w:b/>
        </w:rPr>
        <w:t>E. 7.3</w:t>
      </w:r>
    </w:p>
    <w:p>
      <w:r>
        <w:t>Als Praxismerkmale, die einen erhöhten Fallkostendurchschnitt rechtfertigen können, wurden vom Eidgenössischen Versicherungsgericht etwa eine überdurchschnittliche Anzahl an behandlungsintensiven Patientinnen und Patienten (RKUV 1993 Nr. K 908 S. 38 Erw. 6a, 1986 Nr. K 654 S. 4 Erw. 4c; nicht veröffentlichtes Urteil W. vom 14. Dezember 1995 [K 45/95]), eine überdurchschnittliche Zahl von Hausbesuchen und ein sehr grosses Einzugsgebiet (SVR 1995 KV Nr. 40 S. 125 Erw. 4b [Urteil E. vom 12. September 1994, K 44/94]), ein sehr hoher Anteil an ausländischen Patientinnen und Patienten (RKUV 1986 Nr. K 654 S. 4 Erw. 4c) oder die Umstände anerkannt, dass ein Arzt sehr viele langjährige und sehr viele ältere Patientinnen und Patienten sowie keine Notfallpatienten behandelt (nicht veröffentlichtes Urteil K. vom 18. Oktober 1999, K 152/98) oder erst seit kurzer Zeit in eigener Praxis tätig ist (RSKV 1982 Nr. 489 S. 124 Erw. 4a). Auch können kompensatorische Einsparungen als kostenwirksame Praxisbesonderheiten Berücksichtigung finden (nicht veröffentlichtes Urteil S. vom 29. Oktober 1993, K 101/92; vgl. auch Eugster, Wirtschaftlichkeitskontrolle ambulanter ärztlicher Leistungen mit statistischen Methoden, Diss. Zürich 2003, S. 249 ff.). Gemeint sind Fälle, wo die Ärztin oder der Arzt einen hohen Indexwert bei den direkten Kosten mit dem Hinweis rechtfertigt, seine vergleichsweise aufwändige Behandlungsweise habe zur Folge, dass weniger von ihm veranlasste Kosten anfallen. Wo statistische Daten hiezu fehlen, kann das Gericht den Einwand der kompensatorischen Einsparung indessen kaum überprüfen. Dies gilt etwa für den Hinweis eines Arztes, seine Behandlungsweise ermögliche die Vermeidung zahlreicher stationärer Spitalaufenthalte ( BGE 119 V 455 Erw. 5a).</w:t>
      </w:r>
    </w:p>
    <w:p>
      <w:r>
        <w:rPr>
          <w:b/>
        </w:rPr>
        <w:t>E. 8.1</w:t>
      </w:r>
    </w:p>
    <w:p>
      <w:r>
        <w:t>Das Schiedsgericht hat seiner Beurteilung des Rückerstattungsanspruches aus unwirtschaftlicher Behandlung nach Art. 56 KVG die statistische Methode im Sinne der Rechtsprechung zugrunde gelegt. Dabei hat es sich auf die KSK-Statistik abgestützt und die Beschwerdeführerin mit der Ärztegruppe 00 (Allgemeinpraktiker ohne Röntgen) verglichen, bei welcher sich die durchschnittlichen Arztkosten pro Person im Jahre 1996 auf Fr. 485.54 (direkte Kosten von Fr. 416.02 und veranlasste Kosten von Fr. 69.52) und im Jahre 1997 auf Fr. 461.07 (direkte Kosten von Fr. 409.59 und veranlasste Kosten von Fr. 51.48) beliefen. Anders als im vorinstanzlichen Verfahren äussert die Beschwerdeführerin keine Zweifel mehr am ermittelten Durchschnitt der von ihr verursachten Kosten, welcher im Jahre 1996 mit Fr. 848.20 pro Person (direkte Kosten von Fr. 693.03 und veranlasste Kosten von Fr. 155.17) und im Jahre 1997 mit Fr. 878.29 pro Person (direkte Kosten von Fr. 729.73 und veranlasste Kosten von Fr. 148.56) beziffert wird (zur fehlenden Übereinstimmung der Praxisdatenbank mit der Rechnungsstellerstatistik: Eugster, a.a.O., Nr. 628 S. 218).</w:t>
      </w:r>
    </w:p>
    <w:p>
      <w:r>
        <w:rPr>
          <w:b/>
        </w:rPr>
        <w:t>E. 8.1.1</w:t>
      </w:r>
    </w:p>
    <w:p>
      <w:r>
        <w:t>Dass die Vorinstanz im Falle der Beschwerdeführerin der statistischen Methode den Vorrang gegeben hat, ist nicht zu beanstanden, weil eine genügende Statistik vorliegt und keine hinreichend substantiierten Besonderheiten der Praxis geltend gemacht werden, welche eine Analyse des Einzelfalles erforderten (vgl. BGE 119 V 453 f. Erw. 4; SVR 2005 KV Nr. 4 S. 14 Erw. 6.1 [Urteil S. vom 18. Mai 2004, K 150/03]). Auf die von der Beschwerdeführerin - wie bereits im vorinstanzlichen Verfahren - beantragte Einholung eines analytischen Gutachtens zur Einzelfallabklärung ihrer Praxis besteht aus diesem Grunde kein Anlass. Dass das Zustandekommen der Statistik nicht im Einzelnen nachvollzogen werden kann, ändert nichts daran, dass die im Rahmen der santésuisse- bzw. Konkordatsstatistik erhobenen Daten ausreichend verlässlich sind, um gestützt auf die darauf erstellten statistischen Analysen einen beweiskräftigen Durchschnittskostenvergleich durchführen zu können. Hinzu kommt, dass die Rechtsprechung Lösungsansätze entwickelt hat, welche bekannte Mängel der Statistik ausgleichen (SVR 2005 KV Nr. 4 S. 15 Erw. 6.4.1 [Urteil S. vom 18. Mai 2004, K 150/03]; vgl. dazu Eugster, a.a.O., Nr. 627 f. S. 218 f. und Nr. 814 S. 276).</w:t>
      </w:r>
    </w:p>
    <w:p>
      <w:r>
        <w:rPr>
          <w:b/>
        </w:rPr>
        <w:t>E. 8.1.2</w:t>
      </w:r>
    </w:p>
    <w:p>
      <w:r>
        <w:t>Die als Vergleichsbasis herangezogene Gruppe 00 mit 42 Allgemeinpraktikern (ohne Röntgen) ist praxisgemäss als genügend zu betrachten, hat doch die Rechtsprechung bereits geringere Vergleichsgrössen - 17 Allgemeinpraktiker (ohne Röntgen) im Urteil J. vom 10. August 2004, K 113/03 (Erw. 5.4) - als ausreichende statistische Grundlage anerkannt.</w:t>
      </w:r>
    </w:p>
    <w:p>
      <w:r>
        <w:rPr>
          <w:b/>
        </w:rPr>
        <w:t>E. 8.1.3</w:t>
      </w:r>
    </w:p>
    <w:p>
      <w:r>
        <w:t>Zu Unrecht macht die Beschwerdeführerin schliesslich geltend, ihre Praxis könne nicht mit der Gruppe 00 verglichen werden, weil sie mit der angebotenen Komplementärmedizin relevante Besonderheiten aufweise, für deren Beweis sie im vorinstanzlichen Verfahren entsprechende Anträge gestellt habe (namentlich die Erstellung eines analytischen Gutachtens zur Einzelfallabklärung ihrer Praxis), welche die Vorinstanz indessen abgelehnt habe. Denn in der Fachgruppe 00 geht es um die Behandlung von Allgemeinerkrankungen. Der Umstand, dass (auch) Alternativmedizin praktiziert wird, befreit - wie bereits im angefochtenen Entscheid zutreffend dargelegt - nicht von der Einhaltung des Wirtschaftlichkeitsgebots. Hinzu kommt, dass für den hier relevanten Zeitraum Komplementärmedizin, soweit über die damalige Ziff. 2.1 Anhang KLV hinausgehend, noch gar nicht kassenpflichtig war und deshalb im Hinblick auf Art. 56 KVG von vornherein nicht eine besondere Gruppe Komplementärmedizin gebildet werden kann (Urteil J. vom 10. August 2004, K 113/03, Erw. 5.5, wo in einem ähnlich gelagerten Fall ebenfalls mit Gruppe 00 verglichen wurde). Auch wenn santésuisse in neuerer Zeit offenbar eine besondere Vergleichsgruppe "Komplementärmedizin" befürwortet, kann sich dies nur auf einen Zeitraum beziehen, in welchem diese Leistungen Pflichtleistungen darstellten, was in den hier massgebenden Jahren nicht der Fall war. Schliesslich hat die Vorinstanz aufgrund der von den Klägerinnen am 22. August 2002 zusätzlich eingereichten Kostenzusammenstellung einen Vergleich mit anderen Ärzten angestellt, die ebenfalls im Kanton St. Gallen Alternativmedizin praktizieren (Durchschnitt 1996: Fr. 231.47 pro Patient; Durchschnitt 1997: Fr. 256.45 pro Patient), und ist auch dabei zum Ergebnis gelangt, dass bei der Beschwerdeführerin (Durchschnitt 1996: Fr. 573.55 pro Patient; Durchschnitt 1997: Fr. 648.85 pro Patient) deutlich höhere Kosten anfallen. Auf die Einholung eines analytischen Gutachtens zur Einzelfallabklärung ihrer Praxis und die Befragung des Dr. med. E.________ kann deshalb in antizipierter Beweiswürdigung verzichtet werden ( BGE 124 V 94 Erw. 4b, 122 V 162 Erw. 1d mit Hinweis; SVR 2003 IV Nr. 1 S. 1 Erw. 2).</w:t>
      </w:r>
    </w:p>
    <w:p>
      <w:r>
        <w:rPr>
          <w:b/>
        </w:rPr>
        <w:t>E. 8.2</w:t>
      </w:r>
    </w:p>
    <w:p>
      <w:r>
        <w:t>Als Ausgleich statistischer Ungenauigkeiten und Kompensation von Praxisbesonderheiten hat das Schiedsgericht der Beschwerdeführerin (in beiden Jahren) einen Toleranzzuschlag von 30 % zugestanden, was entgegen der in der Verwaltungsgerichtsbeschwerde vertretenen Auffassung nicht zu beanstanden ist.</w:t>
      </w:r>
    </w:p>
    <w:p>
      <w:r>
        <w:rPr>
          <w:b/>
        </w:rPr>
        <w:t>E. 8.2.1</w:t>
      </w:r>
    </w:p>
    <w:p>
      <w:r>
        <w:t>Unter dem Titel der kompensatorischen Einsparungen, welche als kostenwirksame Praxisbesonderheiten Berücksichtigung finden können (vgl. Erw. 7.3 hievor), macht die Beschwerdeführerin (unsubstantiiert) einen hohen Heilungserfolg und geringere Medikamentenkosten geltend. Während sich der hohe Heilungserfolg nicht überprüfen lässt, wobei sich diese Beweislosigkeit zu Lasten der Beschwerdeführerin auswirkt (Eugster, a.a.O., Nr. 673 S. 233), trifft es tatsächlich zu, dass die Medikamentenkosten der Beschwerdeführerin (1996: Fr. 119.48; 1997: Fr. 80.88) unter dem Durchschnitt (1996: Fr. 159.89; 1997: Fr. 151.90) lagen. Diese Einsparung wird indessen durch die deutlich überdurchschnittlichen Arzt- und veranlassten Kosten mehr als kompensiert, so dass die Beschwerdeführerin daraus nichts zu ihren Gunsten abzuleiten vermag.</w:t>
      </w:r>
    </w:p>
    <w:p>
      <w:r>
        <w:rPr>
          <w:b/>
        </w:rPr>
        <w:t>E. 8.2.2</w:t>
      </w:r>
    </w:p>
    <w:p>
      <w:r>
        <w:t>Soweit eine Besonderheit des Patientengutes geltend gemacht wird, muss sich diese objektiv aus der Person der Patienten ergeben wie beispielsweise die Art der Erkrankung, ein hoher Anteil älterer Personen, ein Überhang an erstmaligen Patienten oder ein hoher Ausländeranteil (Eugster, a.a.O., Nr. 409 f. S. 152). Dass die Patienten einen erhöhten Aufwand (z.B. bezüglich Gespräch) wünschen oder einfordern, genügt nicht, würde dies doch dazu führen, dass der gebotene Aufwand einseitig von den Patienten festgelegt werden könnte, was im Widerspruch zum Wirtschaftlichkeitsgebot stünde.</w:t>
      </w:r>
    </w:p>
    <w:p>
      <w:r>
        <w:t>Was den geltend gemachten hohen Anteil schwerstbehinderter Patienten (aus dem Wohnheim X.________; Rollstuhlpatienten), in welchem Zusammenhang die Beschwerdeführerin eine Parteibefragung sowie eine Expertise beantragt hat, anbelangt, hat die Vorinstanz ausgeführt, dass sich das Ausmass der medizinischen Betreuung der Schwerstbehinderten aufgrund der Akten weder nachprüfen lasse noch quantifizierbar sei, welche Sachverhaltsfeststellung im Lichte von Art. 105 Abs. 2 OG nicht zu beanstanden ist. Namentlich hat es die Beschwerdeführerin in Verletzung ihrer Mitwirkungspflicht (SVR 2005 KV Nr. 4 S. 14 Erw. 5.1 [Urteil S. vom 18. Mai 2004, K 150/03]) unterlassen, anzugeben, worin der besondere Aufwand bei der Behandlung dieser Patienten bestehen soll. Entsprechendes gilt für die Patienten mit hohen Behandlungskosten, bei welchen die Beschwerdeführerin keine Gründe zur Rechtfertigung des hohen Aufwandes vorgebracht hat. Den diesbezüglichen pauschalen Behauptungen, besonders viele schwere Fälle behandelt zu haben, hat die Vorinstanz zu Recht den Erfolg versagt (vgl. auch Eugster, a.a.O., Nr. 691 S. 237).</w:t>
      </w:r>
    </w:p>
    <w:p>
      <w:r>
        <w:rPr>
          <w:b/>
        </w:rPr>
        <w:t>E. 8.2.3</w:t>
      </w:r>
    </w:p>
    <w:p>
      <w:r>
        <w:t>Nichts zu ihren Gunsten abzuleiten vermag die Beschwerdeführerin schliesslich aus dem Umstand, dass sie - wie sie unter Hinweis auf ihre Geschäftszahlen in den folgenden Jahren (1998-2002) geltend macht - lediglich ein durchschnittliches Einkommen erziele und relativ wenige Patienten behandle. Denn diese Kriterien sind für die Wirtschaftlichkeitskontrolle, welche die Prüfung der Frage beinhaltet, ob die Leistungserbringerin sich auf das Mass beschränkt, das im Interesse der Versicherten liegt und für den Behandlungszweck erforderlich ist ( Art. 56 Abs. 1 KVG ), nicht von Belang, weil weder die Einkommenshöhe noch die Anzahl der Patienten etwas darüber aussagt, ob sich der Arzt im Einzelfall an das objektiv notwendige Leistungsmass hält.</w:t>
      </w:r>
    </w:p>
    <w:p>
      <w:r>
        <w:rPr>
          <w:b/>
        </w:rPr>
        <w:t>E. 8.3</w:t>
      </w:r>
    </w:p>
    <w:p>
      <w:r>
        <w:t>Zusammenfassend ergibt sich, dass der vom Schiedsgericht durchgeführte Durchschnittskostenvergleich nicht zu beanstanden ist, namentlich den von der Beschwerdeführerin geltend gemachten Praxisbesonderheiten genügend Rechnung trägt. Es kann weder von einer offensichtlich unrichtigen Tatsachenfeststellung noch einer Bundesrechtsverletzung noch einer ermessensmissbräuchlichen Einschätzung der Wirtschaftlichkeitsgrenze gesprochen werden.</w:t>
      </w:r>
    </w:p>
    <w:p>
      <w:r>
        <w:rPr>
          <w:b/>
        </w:rPr>
        <w:t>E. 9</w:t>
      </w:r>
    </w:p>
    <w:p>
      <w:r>
        <w:t>Verfahren gegen den Leistungserbringer um Rückforderungen wegen Unwirtschaftlichkeit der Behandlungsweise sind kostenpflichtig ( BGE 119 V 455 Erw. 6). Den anwaltlich vertretenen Krankenversicherern steht gestützt auf Art. 159 Abs. 2 in Verbindung mit Art. 135 OG im Überarztungsprozess praxisgemäss eine Parteientschädigung zu (SVR 1995 KV Nr. 40 S. 125 ff. Erw. 5b; nicht veröffentlichte Erw. 9 des in BGE 130 V 377 publizierten Urteils S. vom 18. Mai 2004 [K 150/03]).</w:t>
      </w:r>
    </w:p>
    <w:p>
      <w:r>
        <w:t>Demnach erkennt das Eidg. Versicherungsgericht:</w:t>
      </w:r>
    </w:p>
    <w:p>
      <w:r>
        <w:t>1.</w:t>
      </w:r>
    </w:p>
    <w:p>
      <w:r>
        <w:t>Die Verwaltungsgerichtsbeschwerde wird abgewiesen.</w:t>
      </w:r>
    </w:p>
    <w:p>
      <w:r>
        <w:t>2.</w:t>
      </w:r>
    </w:p>
    <w:p>
      <w:r>
        <w:t>Die Gerichtskosten von Fr. 7000.- werden der Beschwerdeführerin auferlegt und mit dem geleisteten Kostenvorschuss verrechnet.</w:t>
      </w:r>
    </w:p>
    <w:p>
      <w:r>
        <w:t>3.</w:t>
      </w:r>
    </w:p>
    <w:p>
      <w:r>
        <w:t>Die Beschwerdeführerin hat den Beschwerdegegnerinnen für das Verfahren vor dem Eidgenössischen Versicherungsgericht eine Parteientschädigung von Fr. 6000.- (einschliesslich Mehrwertsteuer) zu bezahlen.</w:t>
      </w:r>
    </w:p>
    <w:p>
      <w:r>
        <w:t>4.</w:t>
      </w:r>
    </w:p>
    <w:p>
      <w:r>
        <w:t>Dieses Urteil wird den Parteien, dem Versicherungsgericht des Kantons St. Gallen (Abteilung V) und dem Bundesamt für Gesundheit zugestellt.</w:t>
      </w:r>
    </w:p>
    <w:p>
      <w:r>
        <w:t>Luzern, 1. März 2006</w:t>
      </w:r>
    </w:p>
    <w:p>
      <w:r>
        <w:t>Im Namen des Eidgenössischen Versicherungsgerichts</w:t>
      </w:r>
    </w:p>
    <w:p>
      <w:r>
        <w:t>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