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139/00 vom 9. Juli 2001</w:t>
      </w:r>
    </w:p>
    <w:p>
      <w:r>
        <w:t>Bundesgericht, 2001-07-09, FR</w:t>
      </w:r>
    </w:p>
    <w:p>
      <w:r>
        <w:rPr>
          <w:b/>
        </w:rPr>
        <w:t xml:space="preserve">Quelle: </w:t>
      </w:r>
      <w:r>
        <w:t>https://mcp.opencaselaw.ch/entscheid/bger_K_139_00</w:t>
      </w:r>
    </w:p>
    <w:p>
      <w:r>
        <w:t>FR: TF K 139/00 du 9 juillet 2001</w:t>
      </w:r>
    </w:p>
    <w:p>
      <w:r>
        <w:t>IT: TF K 139/00 del 9 luglio 2001</w:t>
      </w:r>
    </w:p>
    <w:p>
      <w:pPr>
        <w:pStyle w:val="Heading2"/>
      </w:pPr>
      <w:r>
        <w:t>Regeste</w:t>
      </w:r>
    </w:p>
    <w:p>
      <w:r>
        <w:t>Assurance-maladie</w:t>
      </w:r>
    </w:p>
    <w:p>
      <w:pPr>
        <w:pStyle w:val="Heading2"/>
      </w:pPr>
      <w:r>
        <w:t>Erwägungen</w:t>
      </w:r>
    </w:p>
    <w:p>
      <w:r>
        <w:rPr>
          <w:b/>
        </w:rPr>
        <w:t>E. 1</w:t>
      </w:r>
    </w:p>
    <w:p>
      <w:r>
        <w:t>Aux termes du procès-verbal de l'audience du tribunal arbitral du 4 novembre 1999, les parties se sont déclarées d'accord que le jugement du tribunal arbitral, portant uniquement sur la question de la recevabilité de l'action, "puisse être déféré devant le Tribunal fédéral des assurances, quelle que soit la solution finale.. " Or, il va de soi que seul le Tribunal fédéral des assurances est habilité à décider quelles causes peuvent être portées devant lui en vertu de l' art. 91 LAMal . Cependant, la question n'a pas d'intérêt dans le contexte du cas d'espèce, du moment que le tribunal arbitral a jugé la demande irrecevable. Ce n'est que s'il était arrivé à la conclusion inverse, dans le cadre d'un jugement partiel sur le fond, que la question de la recevabilité du recours de droit administratif aurait pu se poser (cf. ATF 122 V 153 consid. 1 et les références). En déclarant la demande irrecevable, l'autorité cantonale a tranché la cause au fond par un jugement final, de sorte que le recours formé par les caisses demanderesses est recevable de ce chef.</w:t>
      </w:r>
    </w:p>
    <w:p>
      <w:r>
        <w:rPr>
          <w:b/>
        </w:rPr>
        <w:t>E. 2</w:t>
      </w:r>
    </w:p>
    <w:p>
      <w:r>
        <w:t>Le jugement attaqué n'ayant pas pour objet l'octroi ou le refus de prestations d'assurance ( ATF 119 V 449 consid. 1),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2OJ).</w:t>
      </w:r>
    </w:p>
    <w:p>
      <w:r>
        <w:rPr>
          <w:b/>
        </w:rPr>
        <w:t>E. 3</w:t>
      </w:r>
    </w:p>
    <w:p>
      <w:r>
        <w:t>A titre préliminaire, le défendeur et intimé excipe du défaut de la FVAM pour agir en son propre nom dans la présente cause. Toutefois, contrairement à ce qu'il allègue, il ressort clairement du dossier que cette fédération agit en qualité de représentante des trente-deux caisses-maladie demanderesses et recourantes, ce que la jurisprudence a toujours considéré comme licite ( ATF 110 V 348 ; consid. 3 de l'arrêt K 11/86, non publié in RAMA 1988 n° K 786, p. 416). Ce moyen se révèle ainsi mal fondé.</w:t>
      </w:r>
    </w:p>
    <w:p>
      <w:r>
        <w:rPr>
          <w:b/>
        </w:rPr>
        <w:t>E. 4</w:t>
      </w:r>
    </w:p>
    <w:p>
      <w:r>
        <w:t>Aux termes de l'art. 56 al. 1 et 2LAMal : " 1 Le fournisseur de prestations doit limiter ses prestations à la mesure exigée par l'intérêt de l'assuré et le but du traitement. 2 La rémunération des prestations qui dépassent cette limite peut être refusée. Le fournisseur de prestations peut être tenu de restituer les sommes reçues à tort au sens de la présente loi. Ont qualité pour demander la restitution : a. l'assuré ou, conformément à l'article 89, 3e alinéa, l'assureur dans le système du tiers garant (art. 42, 1er al.); b. l'assureur dans le système du tiers payant (art. 42, 2e al.)" D'après les premiers juges, "au regard de l' art. 56 LAMal (...) la démarche des demandeurs ne paraît plus possible contrairement à la pratique en vigueur sous l'empire de la LAMA. C'est en effet, conformément à l' art. 56 al. 2 LAMal , à chaque assuré individuellement, représenté par son assureur - dans le système du tiers garant ( art. 89 al. 3 LAMal ) - et à chaque assureur - conformément au système du tiers payant - qu'il incombe d'intervenir auprès du fournisseur de prestations concerné, dans la mesure où il n'aurait pas respecté le principe de l'économicité du traitement". Cette thèse se fonde apparemment sur un arrêt de la Cour de cassation pénale du Tribunal fédéral qui a considéré que l'assuré qui, au lieu de payer la facture d'un prestataire de soins médicaux (en l'occurrence une clinique), utilise à d'autres fins l'argent versé par sa caisse-maladie, ne se rend pas coupable d'abus de confiance au sens de l'ancien art. 140 CP ( ATF 117 IV 256 ). Dès lors, en concluent les juges cantonaux, dans le système du tiers garant, comme ce n'est pas la caisse mais l'assuré qui rétribue le fournisseur de prestations, ce n'est pas elle non plus qui peut exiger de ce dernier la restitution d'une somme qu'elle ne lui a pas versée; ainsi, la demande est irrecevable. Les recourantes contestent ce point de vue et soutiennent qu'en édictant l' art. 56 al. 2 LAMal le législateur n'entendait pas modifier le régime fondé sur l' art. 23 LAMA qui, comme cela ressort du texte de la disposition, reconnaît à l'assureur un droit propre à agir contre un fournisseur de prestations même dans le système du tiers garant ( art. 56 al. 2 let. a LAMal ). Selon elles, il s'agit d'un droit fondé sur une cession légale de la créance de l'assuré en faveur de l'assureur. Au demeurant, toujours selon les recourantes, on parviendrait à la même conclusion en se fondant sur la volonté du législateur telle qu'on peut la dégager des travaux préparatoires. Si l'on devait suivre la thèse des premiers juges, cela conduirait à une différence de traitement insoutenable entre les fournisseurs de prestations - notamment les médecins - liés aux fédérations cantonales de caisses-maladie par une convention instaurant le système du tiers payant et les autres. Le contrôle du caractère économique du traitement médical serait rendu totalement illusoire. Quant à l'intimé dont la thèse a, pour l'essentiel, été suivie par le tribunal arbitral, il se réfère lui aussi à l'arrêt précité de la Cour de cassation pénale du Tribunal fédéral et conteste l'existence d'un droit propre de l'assureur pour agir en restitution du trop-perçu dans le système du tiers garant. Il s'appuie en particulier sur un article de son arbitre, le professeur honoraire Jean-Louis Duc La polypragmasie sous l'empire de l'article 23 LAMA et au regard de l'article 56 LAMal (in: Etudes de droit social, Cahiers genevois et romands de sécurité sociale [CGSS], Hors série no 3 (2001), p. 107-114), dont l'opinion a convaincu le tribunal arbitral vaudois.</w:t>
      </w:r>
    </w:p>
    <w:p>
      <w:r>
        <w:rPr>
          <w:b/>
        </w:rPr>
        <w:t>E. 5</w:t>
      </w:r>
    </w:p>
    <w:p>
      <w:r>
        <w:t>a) Le texte de l' art. 56 al. 2 let. a LAMal - dont l'interprétation est au centre du présent litige -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 et ss) : "Comme actuellement ( art. 23 LAMA )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 Ce passage est repris, pour l'essentiel, dans le message du Conseil fédéral à l'appui de l'art. 48 du projet de loi (FF 1992 I 171). b) D'après l' art. 32 al. 1 LAMal , les prestations mentionnées aux art. 25 à 31 LAMal doivent être efficaces, appropriées et économiques. L'exigence du caractère économique des prestations ressort également de l' art. 56 al. 1 LAMal , selon lequel le fournisseur de prestations doit limiter ses prestations à la mesure exigée par l'intérêt de l'assuré et le but du traitement. Comme le Tribunal fédéral des assurances l'a déjà relevé à propos de l' 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 Mélanges pour le 75ème anniversaire du TFA, Berne 1992, p. 537). Ce principe ne concerne pas uniquement les relations entre caisses et fournisseurs de soins, il est également opposable à l'assuré, qui n'a aucun droit au remboursement d'un traitement non économique ( ATF 125 V 98 consid. 2b et la jurisprudence citée). Pour l'essentiel, ces principes conservent leur valeur sous le régime du nouveau droit (SVR 1999 KV n° 6 p. 12 consid. 7 non publié aux ATF 124 V 128 ). c) L' art. 23 LAMA , dont s'inspire l' art. 56 LAMal , ne contenait pas de prescription formelle sur l'obligation de restitution du fournisseur de prestations et notamment du médecin. C'est ce qui avait amené le Tribunal fédéral des assurances, dans un arrêt fondamental du 31 décembre 1969 (K 24/69), à juger ce qui suit :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 (RSKV 1970 n° 65 p. 85 ss consid. 2, traduit en français au RJAM 1970 p. 85 ss consid. 2). Cette jurisprudence, plusieurs fois confirmée depuis lors (cf. ATF 103 V 151 consid. 3 et les arrêts cités à la fin de ce consid.),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 393 p. 3; cf. aussi ATF 121 V 318 consid. 4b). On peut déduire des travaux préparatoires de la LAMal mentionnés plus haut que l' art. 56 al. 2 let. a LAMal codifie cette pratique, ce qui ressort également de l' art. 89 al. 3 LAMal auquel il renvoie. Cette dernière disposition reprend en effet la règle qui figurait auparavant à l' art. 25 al. 3 LAMA (cf. FF 1992 I 189 ss; voir aussi l'arrêt ATF 124 V 130 et Gebhard Eugster, Krankenversicherung, in: Schweizerisches Bundesverwaltungsrecht [SBVR], ch. 416 et 417), auquel se référait le Tribunal fédéral des assurances dans l'arrêt précité. Dès lors, contrairement à ce que soutiennent les juges cantonaux et l'intimé à la suite de l'opinion exprimée par Duc dans l'article précité, l' art. 56 al. 2 let. a LAMal n'a nullement instauré un nouveau principe, d'après lequel, dans le système du tiers garant au sens de l' art. 42 al. 1 LAMal , seul l'assuré serait en droit d'exiger du fournisseur de prestations la restitution de la rémunération qu'il lui a versée, lorsque celle-ci dépasse la limite fixée par l' art. 56 al. 1 LAMal . On ne trouve rien de tel dans les travaux préparatoires de la loi et c'est même faire violence au texte de celle-ci que d'affirmer le contraire. d) Dans plusieurs arrêts relatifs à l' art. 23 LAMA , la Cour de céans a souligné qu'il ne saurait être question d'exiger de chaque caisse séparément qu'elle entame contre le fournisseur de prestations en cause une action en restitution du trop-perçu. Une disposition de procédure cantonale qui ferait obstacle à une action collective menée de front par plusieurs caisses-maladie et fondée sur les statistiques du Concordat des assureurs-maladie suisses (CAMS) serait contraire au droit fédéral. Ainsi, les caisses, représentées le cas échéant par leur fédération cantonale, peuvent introduire une demande globale de restitution à l'encontre d'un fournisseur de prestations et, à l'issue de la procédure, se partager le montant obtenu à titre de restitution des rétributions perçues sans droit (arrêt non publié C. du 11 juillet 1996 [K 39/95] consid. 5d qui se réfère lui-même à l'arrêt non publié S. du 29 octobre 1993 [K 101/92]). Par identité de motifs, ces mêmes principes s'appliquent lorsque plusieurs assureurs s'unissent pour agir à l'encontre d'un fournisseur de prestations, dans le cadre de l' art. 56 al. 2 let. a LAMal . Dès lors, on ne saurait non plus suivre les juges cantonaux lorsqu'ils considèrent que la demande des recourantes est irrecevable au motif "qu'il ne peut s'agir d'une représentation générale par un consortium de caisses, même nommément désignées, d'un groupe d'assurés forcément anonymes".</w:t>
      </w:r>
    </w:p>
    <w:p>
      <w:r>
        <w:rPr>
          <w:b/>
        </w:rPr>
        <w:t>E. 6</w:t>
      </w:r>
    </w:p>
    <w:p>
      <w:r>
        <w:t>Sur le vu de ce qui précède, c'est à tort que le tribunal arbitral a déclaré irrecevable la demande des trente-deux caisses-maladie recourantes dirigée contre l'intimé. En conséquence, le jugement attaqué doit être annulé et la cause renvoyée audit tribunal pour jugement sur le fond. L'intimé, qui succombe, supportera les frais de justice, lesquels seront fixés à 2000 fr. ( art. 153a OJ ). Par ailleurs, conformément à la jurisprudence ( ATF 119 V 456 consid. 6b; SVR 1995 KV n° 40 p. 125 consid. 5b), il se justifie d'allouer une indemnité de dépens de 1500 fr. aux recourantes qui sont représentées par un avocat indépendant.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