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120/00 vom 5. September 2000</w:t>
      </w:r>
    </w:p>
    <w:p>
      <w:r>
        <w:t>Bundesgericht, 2000-09-05, FR</w:t>
      </w:r>
    </w:p>
    <w:p>
      <w:r>
        <w:rPr>
          <w:b/>
        </w:rPr>
        <w:t xml:space="preserve">Quelle: </w:t>
      </w:r>
      <w:r>
        <w:t>https://mcp.opencaselaw.ch/entscheid/bger_K_120_00</w:t>
      </w:r>
    </w:p>
    <w:p>
      <w:r>
        <w:t>FR: TF K 120/00 du 5 septembre 2000</w:t>
      </w:r>
    </w:p>
    <w:p>
      <w:r>
        <w:t>IT: TF K 120/00 del 5 settembre 2000</w:t>
      </w:r>
    </w:p>
    <w:p>
      <w:pPr>
        <w:pStyle w:val="Heading2"/>
      </w:pPr>
      <w:r>
        <w:t>Regeste</w:t>
      </w:r>
    </w:p>
    <w:p>
      <w:r>
        <w:t>Assurance-maladie</w:t>
      </w:r>
    </w:p>
    <w:p>
      <w:pPr>
        <w:pStyle w:val="Heading2"/>
      </w:pPr>
      <w:r>
        <w:t>Erwägungen</w:t>
      </w:r>
    </w:p>
    <w:p>
      <w:r>
        <w:rPr>
          <w:b/>
        </w:rPr>
        <w:t>E. 1</w:t>
      </w:r>
    </w:p>
    <w:p>
      <w:r>
        <w:t>Un des buts principaux de la LAMal est de rendre l'assurance-maladie obligatoire pour l'ensemble de la population en Suisse ( ATF 125 V 271 consid. 5b). Aussi bien l' art. 3 al. 1 LAMal pose-t-il le principe de l'obligation d'assurance pour toute personne domiciliée en Suisse. D'autre part, les assureurs doivent faire valoir leurs prétentions découlant des obligations financières de l'assuré (paiement des primes selon les art. 61ss LAMal et des participations selon l' art. 64 LAMal ) par la voie de l'exécution forcée selon la LP ou par celle de la compensation (message du Conseil fédéral concernant la révision de l'assurance-maladie du 6 novembre 1991, FF 1992 I 124 ad art. 4). L' art. 88 al. 2 LAMal prévoit ainsi que les décisions et décisions sur opposition au sens des art. 88 al. 1 LAMal qui portent condamnation à payer une somme d'argent ou à fournir des sûretés sont assimilées aux jugements exécutoires selon l' art. 80 LP (cf. aussi ATF 125 V 273 consid. 6c).</w:t>
      </w:r>
    </w:p>
    <w:p>
      <w:r>
        <w:rPr>
          <w:b/>
        </w:rPr>
        <w:t>E. 2</w:t>
      </w:r>
    </w:p>
    <w:p>
      <w:r>
        <w:t>En l'espèce, il est constant que la recourante, domiciliée en Suisse, est soumise à l'assurance obligatoire conformément à l' art. 3 al. 1 LAMal . Il est incontestable, d'autre part, que l'assureur était en droit de poursuivre la recourante pour le montant des primes impayées, ainsi que pour les frais de rappel ( ATF 125 V 276 ; art. 16.3 du règlement de l'intimée des assurances selon la LAMal; éd. 1997). Quant au montant de l'arriéré, il n'est, comme tel, pas contesté. La recourante fait valoir qu'elle ne veut pas être soumise à l'assurance obligatoire des soins. Sa conscience lui dicte "de ne plus collaborer avec ce système médical qui n'est pas de bon sens". A ses yeux, l'assurance-maladie obligatoire cautionne un système de soins inefficace parce qu'il ne soigne que les symptômes et non les causes de la maladie; de surcroît, il serait trop coûteux, polluant et peu respectueux de l'être humain et l'animal. Cette argumentation est toutefois vaine, car le Tribunal fédéral des assurances est tenu d'appliquer les lois fédérales ( art. 191 Cst. ; cf. 113 al. 3 et art. 114bis al. 3a Cst. ).</w:t>
      </w:r>
    </w:p>
    <w:p>
      <w:r>
        <w:rPr>
          <w:b/>
        </w:rPr>
        <w:t>E. 3</w:t>
      </w:r>
    </w:p>
    <w:p>
      <w:r>
        <w:t>Il s'ensuit que le recours, manifestement infondé, doit être liquidé selon la procédure simplifiée ( art. 36a al. 1 let. b OJ ). D'autre part, s'agissant d'un litige qui ne concerne pas des prestations d'assurance, la procédure n'est pas gratuite ( art. 134 OJ a contrario). Succombant, la recourante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