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113/99 vom 21. November 2001</w:t>
      </w:r>
    </w:p>
    <w:p>
      <w:r>
        <w:t>Bundesgericht, 2001-11-21, DE</w:t>
      </w:r>
    </w:p>
    <w:p>
      <w:r>
        <w:rPr>
          <w:b/>
        </w:rPr>
        <w:t xml:space="preserve">Quelle: </w:t>
      </w:r>
      <w:r>
        <w:t>https://mcp.opencaselaw.ch/entscheid/bger_K_113_99</w:t>
      </w:r>
    </w:p>
    <w:p>
      <w:r>
        <w:t>FR: TF K 113/99 du 21 novembre 2001</w:t>
      </w:r>
    </w:p>
    <w:p>
      <w:r>
        <w:t>IT: TF K 113/99 del 21 novembre 2001</w:t>
      </w:r>
    </w:p>
    <w:p>
      <w:pPr>
        <w:pStyle w:val="Heading2"/>
      </w:pPr>
      <w:r>
        <w:t>Regeste</w:t>
      </w:r>
    </w:p>
    <w:p>
      <w:r>
        <w:t>Krankenversicherung</w:t>
      </w:r>
    </w:p>
    <w:p>
      <w:pPr>
        <w:pStyle w:val="Heading2"/>
      </w:pPr>
      <w:r>
        <w:t>Erwägungen</w:t>
      </w:r>
    </w:p>
    <w:p>
      <w:r>
        <w:rPr>
          <w:b/>
        </w:rPr>
        <w:t>E. 1</w:t>
      </w:r>
    </w:p>
    <w:p>
      <w:r>
        <w:t>Nachdem das Grundsatzgutachten bestellt ist, kann die Sistierung des Verfahrens aufgehoben werden.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KVV hat das Departement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deren Behandlungskosten von der obligatorischen Krankenversicherung zu übernehmen sind. In Art. 18 KLV werden die schweren Allgemeinerkrankungen und ihre Folgen aufgelistet, die zu zahnärztlicher Behandlung führen können und deren Kosten von der obligatorischen Krankenversicherung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(zur Publikation in der Amtlichen Sammlung vorgesehene Urteile M. vom 19. September 2001, K 73/98, und J. vom 28. September 2001, K 78/98).</w:t>
      </w:r>
    </w:p>
    <w:p>
      <w:r>
        <w:rPr>
          <w:b/>
        </w:rPr>
        <w:t>E. 3</w:t>
      </w:r>
    </w:p>
    <w:p>
      <w:r>
        <w:t>Die Vorinstanz ist nach einlässlicher Würdigung der medizinischen Akten zu Recht davon ausgegangen, dass im Oberkiefer des Beschwerdeführers aufgrund der Atrophie Cawood VI von einer Osteopathie ausgegangen werden könne, wohingegen die Oberkiefervorverlagerung aufgrund der bestehenden Retrognathie erfolge. Bei der viel geringeren Unterkieferatrophie schliesslich könne keinesfalls von einer Osteopathie ausgegangen werden. Das kantonale Gericht hat sodann in Anlehnung an den Einspracheentscheid vom 26. Februar 1999 schlüssig dargelegt, dass für die Atrophie im Oberkiefer eine Leistungspflicht der Krankenkasse gestützt auf Art. 17 lit. c Ziff. 3 KLV besteht, wohingegen weder die Oberkiefervorverlagerung noch die Unterkieferatrophie zu den Pflichtleistungen gehören. Daran vermag der bereits im kantonalen Verfahren vorgebrachte Einwand des Beschwerdeführers nichts zu ändern. Die Berufung auf Art. 25 KVG geht fehl, weil es in seinem Fall - wie die Vorinstanz einlässlich dargelegt hat - um eine zahnärztliche Behandlung des Kausystems geht, dies unabhängig davon, ob sie durch einen Zahnarzt oder durch einen doppelapprobierten Kieferchirurgen vorgenommen wird. Eine Leistungspflicht der sozialen Krankenversicherung ist daher nur bei Erfüllung der Voraussetzungen von Art. 31 Abs. 1 KVG lit. a in Verbindung mit Art. 17 KLV gegeben, da die zahnärztliche Behandlung weder durch eine schwere Allgemeinerkrankung oder ihre Folgen bedingt (lit. b) noch für deren Behandlung notwendig ist (lit. c). Demnach erkennt das Eidg. Versicherungsgericht: I. Die Sistierung wird aufgehoben. II. Die Verwaltungsgerichtsbeschwerde wird abgewiesen. III. Es werden keine Gerichtskosten erhoben. IV. Dieses Urteil wird den Parteien, dem Verwaltungsgericht des Kantons Schwyz und dem Bundesamt für Sozialversicherung zugestellt. Luzern, 21. November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