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108/00 vom 22. Januar 2001</w:t>
      </w:r>
    </w:p>
    <w:p>
      <w:r>
        <w:t>Bundesgericht, 2001-01-22, FR</w:t>
      </w:r>
    </w:p>
    <w:p>
      <w:r>
        <w:rPr>
          <w:b/>
        </w:rPr>
        <w:t xml:space="preserve">Quelle: </w:t>
      </w:r>
      <w:r>
        <w:t>https://mcp.opencaselaw.ch/entscheid/bger_K_108_00</w:t>
      </w:r>
    </w:p>
    <w:p>
      <w:r>
        <w:t>FR: TF K 108/00 du 22 janvier 2001</w:t>
      </w:r>
    </w:p>
    <w:p>
      <w:r>
        <w:t>IT: TF K 108/00 del 22 gennaio 2001</w:t>
      </w:r>
    </w:p>
    <w:p>
      <w:pPr>
        <w:pStyle w:val="Heading2"/>
      </w:pPr>
      <w:r>
        <w:t>Regeste</w:t>
      </w:r>
    </w:p>
    <w:p>
      <w:r>
        <w:t>Assurance-maladie</w:t>
      </w:r>
    </w:p>
    <w:p>
      <w:pPr>
        <w:pStyle w:val="Heading2"/>
      </w:pPr>
      <w:r>
        <w:t>Erwägungen</w:t>
      </w:r>
    </w:p>
    <w:p>
      <w:r>
        <w:rPr>
          <w:b/>
        </w:rPr>
        <w:t>E. 1</w:t>
      </w:r>
    </w:p>
    <w:p>
      <w:r>
        <w:t>Le jugement entrepris expose correctement les dispositions légales et les principes jurisprudentiels applicables en l'espèce, notamment en ce qui concerne l'assurance facultative d'indemnités journalières selon la LAMal, de sorte qu'il suffit d'y renvoyer.</w:t>
      </w:r>
    </w:p>
    <w:p>
      <w:r>
        <w:rPr>
          <w:b/>
        </w:rPr>
        <w:t>E. 2</w:t>
      </w:r>
    </w:p>
    <w:p>
      <w:r>
        <w:t>Pour l'essentiel, la recourante critique les conclusions auxquelles est parvenu l'expert commis par l'intimée en leur opposant les avis des médecins traitants qu'elle a consultés. a) Lorsque l'administration confie des expertises à des spécialistes externes reconnus, le juge peut, dans le cadre de l'appréciation des preuves, leur reconnaître une pleine force probante dans la mesure où celles-ci se fondent sur des examens complets ainsi qu'une étude fouillée du dossier et qu'il n'existe pas non plus d'indices concrets qui permettraient de douter de leur bien-fondé ( ATF 125 V 353 consid. 3b/bb, 122 V 161 consid. 1c et les références). b) En l'occurrence et quoi qu'en dise la recourante, l'expertise du docteur P.________ remplit tous les critères formels posés par la jurisprudence précitée pour qu'on puisse lui accorder pleine valeur probante. A cet égard, le fait que le docteur H.________ a attesté à réitérées reprises une incapacité de travail totale ne lui est d'aucun secours car l'avis de ce médecin n'est pas suffisamment étayé et repose en définitive sur les plaintes subjectives de sa patiente. Quant aux autres médecins traitants auxquels l'assurée s'est adressée (notamment les docteurs Z.________, R.________ et T.________), ils ne se sont pas prononcés sur sa capacité de travail, si bien que leurs appréciations ne sont pas de nature à remettre en cause les conclusions de l'expert. A cela s'ajoute que ce dernier a pris en considération les constatations faites par les médecins prénommés, qui n'ont d'ailleurs pas mis en évidence de lésion significative au niveau de la colonne vertébrale et du membre supérieur droit. Enfin, il y a lieu, en principe, d'attacher plus de poids à l'opinion motivée d'un expert qu'à celle d'un médecin traitant dès lors que celui-ci, de par la relation de confiance qui l'unit à son patient, est généralement enclin, en cas de doute, à prendre parti pour lui ( ATF 125 V 353 3b/cc et la référence). c) Au vu de ce qui précède, l'intimée était fondée par sa décision sur opposition du 27 janvier 2000, à supprimer le droit de la recourante aux indemnités journalières à partir du 1er juin 1999. Le jugement attaqué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