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K_101/2003 vom 22. Juli 2004</w:t>
      </w:r>
    </w:p>
    <w:p>
      <w:r>
        <w:t>Bundesgericht, 2004-07-22, FR</w:t>
      </w:r>
    </w:p>
    <w:p>
      <w:r>
        <w:rPr>
          <w:b/>
        </w:rPr>
        <w:t xml:space="preserve">Quelle: </w:t>
      </w:r>
      <w:r>
        <w:t>https://mcp.opencaselaw.ch/entscheid/bger_K_101_2003</w:t>
      </w:r>
    </w:p>
    <w:p>
      <w:r>
        <w:t>FR: TF K_101/2003 du 22 juillet 2004</w:t>
      </w:r>
    </w:p>
    <w:p>
      <w:r>
        <w:t>IT: TF K_101/2003 del 22 luglio 2004</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l'assurance-maladie. Cependant, le cas d'espèce reste régi par les dispositions de la LAMal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litige porte sur la prise en charge par la caisse, au titre de l'assurance obligatoire des soins, des frais du traitement administré par le docteur J.________, médecin-dentiste, consistant dans la confection et la mise en place d'un appareil de type SERENOX, soit un appareil buccal d'avancement mandibulaire destiné à prévenir et combattre l'apnée du sommeil.</w:t>
      </w:r>
    </w:p>
    <w:p>
      <w:r>
        <w:rPr>
          <w:b/>
        </w:rPr>
        <w:t>E. 3.1</w:t>
      </w:r>
    </w:p>
    <w:p>
      <w:r>
        <w:t>La caisse intimée et le premier juge ont considéré que la confection et la pose d'une prothèse mandibulaire en vue du traitement de l'apnée du sommeil constituaient des soins dentaires au sens des art. 31 al. 1 let. a LAMal et 17 let. f OPAS. La juridiction cantonale s'est fondée pour cela sur le fait que le prestataire de soins intervenu en l'occurrence était médecin-dentiste.</w:t>
      </w:r>
    </w:p>
    <w:p>
      <w:r>
        <w:rPr>
          <w:b/>
        </w:rPr>
        <w:t>E. 3.2</w:t>
      </w:r>
    </w:p>
    <w:p>
      <w:r>
        <w:t>En ce qui concerne les notions de traitements dentaire et médical, le Tribunal fédéral des assurances a jugé que le point d'application du traitement et le but thérapeutique visé par ce dernier figurent au premier rang des critères permettant de délimiter ces deux catégories de traitements ( ATF 128 V 145 consid. 4b).</w:t>
      </w:r>
    </w:p>
    <w:p>
      <w:r>
        <w:t>Sous l'angle du critère du point d'application, sont des traitements dentaires - comme déjà selon la jurisprudence constante rendue sous l'empire de la LAMA - principalement les mesures thérapeutiques appliquées à l'appareil masticatoire, à savoir le traitement des dents, de l'appareil de soutien de la dent (parodonte), ainsi que les soins aux organes destinés à recevoir une prothèse dentaire ( ATF 128 V 145 s. consid. 4b/aa, 120 V 195 consid. 2b).</w:t>
      </w:r>
    </w:p>
    <w:p>
      <w:r>
        <w:t>Quant au critère du but thérapeutique, il est déterminé au regard de la partie du corps ou de la fonction qui doit être directement soignée ou restaurée ( ATF 128 V 146 consid. 4b/bb).</w:t>
      </w:r>
    </w:p>
    <w:p>
      <w:r>
        <w:t>Ainsi, dans un cas concret, le Tribunal fédéral des assurances a jugé que la pose d'une gouttière facilitant le broyage des aliments, destinée à décharger la musculature et l'articulation de la mâchoire, était certes appliquée à l'appareil masticatoire mais avait pour but thérapeutique le traitement de l'arthrose affectant la mâchoire. Dans ce cas, le critère du but thérapeutique avait plus de poids, de sorte que ledit traitement constituait un traitement médical ( ATF 128 V 146 consid. 4b/cc).</w:t>
      </w:r>
    </w:p>
    <w:p>
      <w:r>
        <w:rPr>
          <w:b/>
        </w:rPr>
        <w:t>E. 3.3</w:t>
      </w:r>
    </w:p>
    <w:p>
      <w:r>
        <w:t>Vu ce qui précède, bien que le traitement ici en cause ait été administré par un médecin-dentiste, on ne saurait partager le point de vue de la juridiction cantonale selon lequel ledit traitement constitue des soins dentaires. En effet, selon la jurisprudence, les dentistes sont assimilés aux médecins en ce qui concerne les mesures thérapeutiques pratiquées dans la cavité buccale, qui ne constituent pas des soins dentaires au sens étroit mais qui, ce nonobstant, sont dispensées presque exclusivement par des dentistes ( ATF 128 V 147 consid. 5a, 135). Or, sous l'angle du point d'application, la confection et la mise en place de l'appareil de type SERENOX ne peuvent être assimilées à un traitement thérapeutique du système masticatoire (traitement des dents, du parodonte ou des organes destinés à recevoir une prothèse dentaire), bien qu'en définitive l'appareil se trouve dans la bouche. Sous l'angle du but thérapeutique, la confection et la mise en place de cet appareil ne visent pas la fonction masticatoire, mais la fonction respiratoire, entravée par l'apnée du sommeil dont souffre le recourant. Ainsi, le docteur J.________ a bien précisé que la confection et la mise en place de l'appareil étaient destinées à traiter un problème médical sans aucune intervention sur les dents ou le système masticatoire et avaient pour fonction de libérer les voies respiratoires supérieures de façon simple et non invasive (lettre du 11 janvier 2001).</w:t>
      </w:r>
    </w:p>
    <w:p>
      <w:r>
        <w:rPr>
          <w:b/>
        </w:rPr>
        <w:t>E. 4.1</w:t>
      </w:r>
    </w:p>
    <w:p>
      <w:r>
        <w:t>L'assurance obligatoire des soins prend en charge les coûts des prestations qui servent à diagnostiquer ou à traiter une maladie et ses séquelles ( art. 25 al. 1 LAMal ). Ces prestations comprennent notamment les analyses, médicaments, moyens et appareils diagnostiques ou thérapeutiques prescrits par un médecin ou, dans les limites fixées par le Conseil fédéral, par un chiropraticien ( art. 25 al. 2 let. b LAMal ). Selon l' art. 52 al. 1 let. a LAMal , le département édicte des dispositions sur l'obligation de prise en charge et l'étendue de la rémunération des moyens et d'appareils diagnostiques ou thérapeutiques (ch. 3). Faisant usage de cette compétence, le département a édicté la liste des moyens et appareils (LiMA, annexe 2 à l'OPAS). Celle-ci n'est pas publiée dans le Recueil officiel du droit fédéral (RO) ni dans le Recueil systématique (RS; art. 20 al. 3 OPAS ).</w:t>
      </w:r>
    </w:p>
    <w:p>
      <w:r>
        <w:t>Cette liste des moyens et appareils à la charge des caisses-maladie est exhaustive (RAMA 2002 KV 196 p. 7).</w:t>
      </w:r>
    </w:p>
    <w:p>
      <w:r>
        <w:rPr>
          <w:b/>
        </w:rPr>
        <w:t>E. 4.2</w:t>
      </w:r>
    </w:p>
    <w:p>
      <w:r>
        <w:t>En l'espèce, l'appareil buccal d'avancement mandibulaire du type SERENOX n'est pas mentionné dans la LiMA et ne correspond pas à la description d'un groupe de produits mentionné dans ladite liste (cf. art. 20 al. 1 OPAS ).</w:t>
      </w:r>
    </w:p>
    <w:p>
      <w:r>
        <w:t>Par ailleurs, le recourant ne fait valoir aucun argument justifiant que le juge examine si l'absence de mention de l'appareil en cause est contraire à la loi ou à la Constitution. Au demeurant, le Tribunal fédéral des assurances doit faire preuve d'une grande retenue lorsque se pose la question des conditions d'admission dans des domaines médicaux complexes ( ATF 125 V 30 s. consid. 6a; RAMA 2002 KV 196 p. 12 consid. 3c/bb, et les références).</w:t>
      </w:r>
    </w:p>
    <w:p>
      <w:r>
        <w:rPr>
          <w:b/>
        </w:rPr>
        <w:t>E. 4.3</w:t>
      </w:r>
    </w:p>
    <w:p>
      <w:r>
        <w:t>Quant aux précédents dont se prévaut le recourant, ils ne sont pas pertinents. Les arrêts publiés aux ATF 125 V 16 et 124 V 196, ainsi qu'à la RAMA 1998 KV 33 p. 282 traitent du rétablissement de la fonction masticatoire dans le cadre de la prise en charge d'un traitement dentaire au sens étroit ( art. 31 LAMal ). Par ailleurs, à l'arrêt ATF 128 V 143 , le Tribunal fédéral des assurances a seulement constaté que la pose d'une gouttière facilitant le broyage des aliments, destinée à décharger la musculature et l'articulation de la mâchoire, constituait un traitement médical, dont la caisse-maladie avait à répondre dans le cadre de l' art. 25 LAMal . En revanche, il ne s'est pas prononcé sur l'étendue concrète de la prise en charge par l'assureur-maladie.</w:t>
      </w:r>
    </w:p>
    <w:p>
      <w:r>
        <w:t>Vu ce qui précède, la caisse était fondée, par sa décision sur opposition du 30 mai 2002, à dénier à l'assuré le droit à la prise en charge du traitement administré par le docteur J.________. Le jugement entrepris n'est dès lors pas critiquable et le recours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