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I_89/2006 vom 27. Juni 2006</w:t>
      </w:r>
    </w:p>
    <w:p>
      <w:r>
        <w:t>Bundesgericht, 2006-06-27, DE</w:t>
      </w:r>
    </w:p>
    <w:p>
      <w:r>
        <w:rPr>
          <w:b/>
        </w:rPr>
        <w:t xml:space="preserve">Quelle: </w:t>
      </w:r>
      <w:r>
        <w:t>https://mcp.opencaselaw.ch/entscheid/bger_I_89_2006</w:t>
      </w:r>
    </w:p>
    <w:p>
      <w:r>
        <w:t>FR: TF I_89/2006 du 27 juin 2006</w:t>
      </w:r>
    </w:p>
    <w:p>
      <w:r>
        <w:t>IT: TF I_89/2006 del 27 giugno 2006</w:t>
      </w:r>
    </w:p>
    <w:p>
      <w:pPr>
        <w:pStyle w:val="Heading2"/>
      </w:pPr>
      <w:r>
        <w:t>Erwägungen</w:t>
      </w:r>
    </w:p>
    <w:p>
      <w:r>
        <w:rPr>
          <w:b/>
        </w:rPr>
        <w:t>E. 1</w:t>
      </w:r>
    </w:p>
    <w:p>
      <w:r>
        <w:t>Strittig und vorab zu prüfen ist, ob der kantonale Gerichtsentscheid Bundesrecht verletzt ( Art. 104 lit. a OG ), indem die Beschwerdeführerin nicht von Amtes wegen zum Verfahren beigeladen und ihr entsprechendes Gesuch als verspätet qualifiziert wurde.</w:t>
      </w:r>
    </w:p>
    <w:p>
      <w:r>
        <w:rPr>
          <w:b/>
        </w:rPr>
        <w:t>E. 2</w:t>
      </w:r>
    </w:p>
    <w:p>
      <w:r>
        <w:t>In BGE 132 V 1 äusserte sich das Eidgenössische Versicherungsgericht zum Verhältnis zwischen erster Säule (Invalidenversicherung) und zweiter Säule (berufliche Vorsorge) und stellte fest, dass im Unterschied zum Verhältnis Invalidenversicherung zur Unfallversicherung die durch die Judikatur näher umschriebene Bindungswirkung der Invaliditätsbemessung der Invalidenversicherung für die (obligatorische) berufliche Vorsorge ( BGE 115 V 208 und 215 sowie 118 V 39 Erw. 2 und 3 sowie seitherige Urteile) in den Art. 23 ff. BVG positivrechtlich ausdrücklich verankert ist. Das zeigt sich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und schliesslich für den Beginn des Anspruchs auf eine BVG-Invalidenrente gestützt auf Art. 26 Abs. 1 BVG sinngemäss die entsprechenden invalidenversicherungsrechtlichen Bestimmungen ( Art. 29 IVG ) gelten. An dieser gesetzlichen Konzeption, die auf der Überlegung fusst, die Organe der (obligatorischen) beruflichen Vorsorge von eigenen aufwändigen Abklärungen freizustellen, und nur bezüglich Feststellungen und Beurteilungen der IV-Organe gilt, welche im invalidenversicherungsrechtlichen Verfahren für die Festlegung des Anspruchs auf eine Invalidenrente entscheidend waren (vgl. Urteil M. vom 14. August 2000, B 50/99, Erw. 2b), hat sich mit In-Kraft-Treten des ATSG, welchem die berufliche Vorsorge grundsätzlich nicht untersteht (vgl. hiezu im Allgemeinen: Ueli Kieser, ATSG-Kommentar, S. 38 Rz 18 ff. sowie bezüglich Überentschädigung: BGE 130 V 78 ),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 BGE 132 V 4 f. Erw. 3.2 und 3.3.1). Einem Eröffnungsfehler gegenüber einer präsumtiv leistungspflichtigen Vorsorgeeinrichtung ist auch unter Geltung des ATSG in der Weise Rechnung zu tragen, dass den Ergebnissen bezüglich Invalidität aus dem IV-Verfahren keine Bindungswirkung für die Invaliditätsbeurteilung im berufsvorsorgerechtlichen Verfahren zuzuerkennen ist. Es besteht daher, wie bereits im zitierten Urteil S. vom 5. Oktober 2005, B 91/04, zur altrechtlichen Normenlage entschieden, kein Grund, der Vorsorgeeinrichtung bei nachträglicher Kenntnis der IV-Rentenverfügung den Rechtsweg gegen diese zu eröffnen ( BGE 132 V 5 Erw. 3.3.2).</w:t>
      </w:r>
    </w:p>
    <w:p>
      <w:r>
        <w:rPr>
          <w:b/>
        </w:rPr>
        <w:t>E. 3.1</w:t>
      </w:r>
    </w:p>
    <w:p>
      <w:r>
        <w:t>Die Vorinstanz erwog, das Gesuch der Beschwerdeführerin vom 4. November 2005 um Beteiligung am Verfahren sei nach dem förmlichen Abschluss des Beweisverfahrens (am 10. Oktober 2005) und somit verspätet gestellt worden. Die Vorsorgeeinrichtung habe es zu vertreten, dass sie es unterlassen habe, rechtzeitig beim kantonalen Gericht nachzufragen, ob die versicherte Person Beschwerde eingereicht habe. Es sei weder mit dem Grundsatz der Rechtssicherheit noch mit demjenigen des einfachen und raschen Verfahrens nach Art. 61 lit. a ATSG zu vereinbaren, wenn einer Vorsorgeeinrichtung ein zeitlich unbeschränktes Beteiligungsrecht zugestanden würde. Zur Untermauerung seiner Rechtsauffassung wies das Gericht dabei auf das Urteil S. vom 5. Oktober 2005, B 91/04, hin.</w:t>
      </w:r>
    </w:p>
    <w:p>
      <w:r>
        <w:rPr>
          <w:b/>
        </w:rPr>
        <w:t>E. 3.2.1</w:t>
      </w:r>
    </w:p>
    <w:p>
      <w:r>
        <w:t>Die letztinstanzlich Beschwerde führende Vorsorgeeinrichtung hat während der Rechtshängigkeit der (von der versicherten Person eingereichten) erstinstanzlichen Beschwerde um Beteiligung am Prozess ersucht. Bei dieser Sachlage verfängt der vorinstanzliche Hinweis auf das Urteil S. vom 5. Oktober 2005, B 91/04, nicht. Indem der Einspracheentscheid vom 12. August 2005 gemäss Dispositiv-Ziff. 3 nebst dem Rechtsvertreter der Versicherten auch der präsumtiv leistungspflichtigen Vorsorgeeinrichtung zugestellt wurde, liegt nämlich kein Eröffnungsfehler vor, welcher dazu führte, dass die Vorsorgeeinrichtung keinen Einfluss auf den Gang des invalidenversicherungsrechtlichen Verfahrens mehr nehmen konnte mit der Folge, dass die Verbindlichkeitswirkung nicht Platz greift (vgl. Urteil S. vom 5. Oktober 2005, B 91/04, Erw. 3.4).</w:t>
      </w:r>
    </w:p>
    <w:p>
      <w:r>
        <w:rPr>
          <w:b/>
        </w:rPr>
        <w:t>E. 3.2.2</w:t>
      </w:r>
    </w:p>
    <w:p>
      <w:r>
        <w:t>Beizupflichten ist der Vorinstanz demgegenüber darin, dass die Beiladung einer am Prozessausgang interessierten Person verfahrensmässige Weiterungen im Verfahren nach IVG mit sich bringt. Durch eine straffe Instruktion des Verfahrens, insbesondere mittels der Ansetzung angemessener, nicht überlanger Fristen, liegt es indes an den kantonalen Gerichten, darauf hinzuwirken, dass der in Art. 61 lit. a ATSG normierten Verfahrensregel eines einfachen und raschen Verfahrens gleichwohl Nachachtung verschafft wird. Sofern das kantonale Gericht das Institut der Beiladung als mit Art. 61 lit. a ATSG generell nicht vereinbar erachtet, kann ihm daher nicht beigepflichtet werden. Insgesamt ist der Rechtsverwirklichung schliesslich besser gedient, wenn ein für die Vorsorgeeinrichtung bindender invalidenversicherungsrechtlicher Entscheid gefällt werden kann.</w:t>
      </w:r>
    </w:p>
    <w:p>
      <w:r>
        <w:rPr>
          <w:b/>
        </w:rPr>
        <w:t>E. 3.2.3</w:t>
      </w:r>
    </w:p>
    <w:p>
      <w:r>
        <w:t>Der allgemeine Zweck der Beiladung liegt darin, dass die Rechtskraft eines Entscheides auf die beigeladene Person ausgedehnt wird, sodass diese in einem allfälligen später gegen sie gerichteten Prozess jene gegen sich gelten lassen muss (vgl. BGE 130 V 502 f. Erw. 1.2 mit Hinweisen). Führt, wie im hier zu beurteilenden Fall, die versicherte Person Beschwerde gegen einen Einspracheentscheid, welcher sowohl ihr als auch der präsumtiv leistungspflichtigen Vorsorgeeinrichtung eröffnet wurde, ist die Beiladung der Vorsorgeeinrichtung im kantonalen Prozess Voraussetzung dafür, dass der erstinstanzliche Gerichtsentscheid die in Erw. 2 hievor dargelegte Bindungswirkung entfalten kann. Indem die Vorinstanz es unterliess, die im Einspracheverfahren als Partei aufgetretene Vorsorgeeinrichtung von Amtes wegen zum Verfahren beizuladen, hat sie es versäumt, der bundesrechtlich vorgesehenen Bindungswirkung gemäss Erw. 2 hievor zum Durchbruch zu verhelfen. Der Umstand, dass die Vorsorgeeinrichtung ihrerseits erst nach Abschluss des kantonalen Schriftenwechsels ein Gesuch um Beiladung stellte, darf ihr nicht zum Nachteil gereichen.</w:t>
      </w:r>
    </w:p>
    <w:p>
      <w:r>
        <w:rPr>
          <w:b/>
        </w:rPr>
        <w:t>E. 3.2.4</w:t>
      </w:r>
    </w:p>
    <w:p>
      <w:r>
        <w:t>Einer letztinstanzlichen Heilung des Verfahrensmangels (hiezu statt vieler: RKUV 2005 Nr. U 558 S. 391 [U 53/05]) steht dessen Schwere entgegen. Diese liegt darin begründet, dass es die Vorinstanz trotz klar ausgewiesener Parteistellung der Vorsorgeeinrichtung im Einspracheverfahren versäumte, die Publica am laufenden erstinstanzlichen Beschwerdeverfahren zu beteiligen. Bei dieser Sachlage ist der vom kantonalen Gericht in der letztinstanzlichen Vernehmlassung vom 8. Februar 2006 gemachte Hinweis auf praktische Probleme, erheblich kompliziertere und länger dauernde Verfahren mit mehreren Parteien, verbunden mit umständlichen Abklärungen darüber, welche Vorsorgeeinrichtung überhaupt betroffen sein könnte, unbehelflich.</w:t>
      </w:r>
    </w:p>
    <w:p>
      <w:r>
        <w:rPr>
          <w:b/>
        </w:rPr>
        <w:t>E. 3.3</w:t>
      </w:r>
    </w:p>
    <w:p>
      <w:r>
        <w:t>Nach dem Gesagten ist der kantonale Gerichtsentscheid aufzuheben, damit die Vorinstanz die letztinstanzlich Beschwerde führende Vorsorgeeinrichtung am erstinstanzlichen Beschwerdeverfahren beteiligt und danach einen neuen Entscheid fällt. Sie wird dabei zu berücksichtigen haben, dass nach der Rechtsprechung beim Tabellenlohnvergleich in der Regel von Tabelle TA1 (monatlicher Bruttolohn [Zentralwert] nach Wirtschaftszweigen, Anforderungsniveau des Arbeitsplatzes und Geschlecht, Privater Sektor) und dem für sämtliche Wirtschaftszweige geltenden Durchschnittslohn auszugehen ist. Ausnahmsweise kann auf einzelne Sektoren (Produktion, Dienstleistungen) oder Wirtschaftszweige abgestellt werden, wenn eine Eingliederung nur in bestimmten Bereichen in Betracht fällt. In solchen Fällen können auch die Tabellenlöhne gemäss Tabelle TA7 (monatlicher Bruttolohn [Zentralwert] nach Tätigkeiten, Anforderungsniveau des Arbeitsplatzes und Geschlecht, Privater und öffentlicher Sektor [Bund] zusammen) herangezogen werden. Es kann auch auf den Durchschnittslohn für bestimmte Tätigkeiten abgestellt werden, wenn dies eine genauere Festsetzung des Invaliditätsgrades erlaubt (vgl. Urteil L. vom 11. November 2004, U 241/04, Erw. 4.4 mit Hinweisen).</w:t>
      </w:r>
    </w:p>
    <w:p>
      <w:r>
        <w:rPr>
          <w:b/>
        </w:rPr>
        <w:t>E. 3.4</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